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rPr>
      </w:pPr>
      <w:r>
        <w:rPr>
          <w:rFonts w:hint="eastAsia"/>
          <w:b/>
          <w:sz w:val="28"/>
          <w:lang w:eastAsia="zh-CN"/>
        </w:rPr>
        <w:t>上海</w:t>
      </w:r>
      <w:r>
        <w:rPr>
          <w:rFonts w:hint="eastAsia"/>
          <w:b/>
          <w:sz w:val="28"/>
        </w:rPr>
        <w:t>电力</w:t>
      </w:r>
      <w:r>
        <w:rPr>
          <w:rFonts w:hint="eastAsia"/>
          <w:b/>
          <w:sz w:val="28"/>
          <w:lang w:eastAsia="zh-CN"/>
        </w:rPr>
        <w:t>大学</w:t>
      </w:r>
      <w:r>
        <w:rPr>
          <w:rFonts w:hint="eastAsia"/>
          <w:b/>
          <w:sz w:val="28"/>
        </w:rPr>
        <w:t>201</w:t>
      </w:r>
      <w:r>
        <w:rPr>
          <w:rFonts w:hint="eastAsia"/>
          <w:b/>
          <w:sz w:val="28"/>
          <w:lang w:val="en-US" w:eastAsia="zh-CN"/>
        </w:rPr>
        <w:t>9</w:t>
      </w:r>
      <w:r>
        <w:rPr>
          <w:rFonts w:hint="eastAsia"/>
          <w:b/>
          <w:sz w:val="28"/>
        </w:rPr>
        <w:t>版教师套餐方案</w:t>
      </w:r>
    </w:p>
    <w:p>
      <w:pPr>
        <w:jc w:val="center"/>
        <w:rPr>
          <w:rFonts w:hint="eastAsia"/>
          <w:b/>
          <w:sz w:val="28"/>
        </w:rPr>
      </w:pPr>
    </w:p>
    <w:p>
      <w:pPr>
        <w:pStyle w:val="11"/>
        <w:numPr>
          <w:ilvl w:val="0"/>
          <w:numId w:val="1"/>
        </w:numPr>
        <w:ind w:firstLineChars="0"/>
        <w:rPr>
          <w:b/>
        </w:rPr>
      </w:pPr>
      <w:r>
        <w:rPr>
          <w:rFonts w:hint="eastAsia"/>
          <w:b/>
        </w:rPr>
        <w:t>推荐</w:t>
      </w:r>
      <w:r>
        <w:rPr>
          <w:rFonts w:hint="eastAsia"/>
          <w:b/>
          <w:lang w:eastAsia="zh-CN"/>
        </w:rPr>
        <w:t>套餐</w:t>
      </w:r>
      <w:r>
        <w:rPr>
          <w:rFonts w:hint="eastAsia"/>
          <w:b/>
        </w:rPr>
        <w:t>：</w:t>
      </w:r>
    </w:p>
    <w:p>
      <w:pPr>
        <w:pStyle w:val="11"/>
        <w:ind w:left="480" w:firstLine="0" w:firstLineChars="0"/>
        <w:rPr>
          <w:b/>
        </w:rPr>
      </w:pPr>
      <w:r>
        <w:rPr>
          <w:rFonts w:hint="eastAsia"/>
          <w:b/>
          <w:highlight w:val="yellow"/>
        </w:rPr>
        <w:t>原先30元套餐的</w:t>
      </w:r>
      <w:r>
        <w:rPr>
          <w:rFonts w:hint="eastAsia"/>
          <w:b/>
        </w:rPr>
        <w:t>，办理翼企享福30元套餐，老号码作为副卡存量转入。</w:t>
      </w:r>
    </w:p>
    <w:p>
      <w:pPr>
        <w:spacing w:line="360" w:lineRule="atLeast"/>
        <w:rPr>
          <w:rFonts w:ascii="Calibri" w:hAnsi="Calibri"/>
          <w:b/>
        </w:rPr>
      </w:pPr>
      <w:r>
        <w:rPr>
          <w:rFonts w:hint="eastAsia" w:ascii="Calibri" w:hAnsi="Calibri"/>
          <w:b/>
        </w:rPr>
        <w:t>1.1主卡基础套餐：</w:t>
      </w:r>
    </w:p>
    <w:tbl>
      <w:tblPr>
        <w:tblStyle w:val="7"/>
        <w:tblW w:w="9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19"/>
        <w:gridCol w:w="1103"/>
        <w:gridCol w:w="1306"/>
        <w:gridCol w:w="1780"/>
        <w:gridCol w:w="1509"/>
        <w:gridCol w:w="89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1085"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月基本费</w:t>
            </w:r>
          </w:p>
          <w:p>
            <w:pPr>
              <w:spacing w:line="360" w:lineRule="atLeast"/>
              <w:rPr>
                <w:rFonts w:ascii="Calibri" w:hAnsi="Calibri"/>
                <w:b/>
              </w:rPr>
            </w:pPr>
            <w:r>
              <w:rPr>
                <w:rFonts w:hint="eastAsia"/>
                <w:b/>
              </w:rPr>
              <w:t>（元</w:t>
            </w:r>
            <w:r>
              <w:rPr>
                <w:b/>
              </w:rPr>
              <w:t>/</w:t>
            </w:r>
            <w:r>
              <w:rPr>
                <w:rFonts w:hint="eastAsia"/>
                <w:b/>
              </w:rPr>
              <w:t>号）</w:t>
            </w:r>
          </w:p>
        </w:tc>
        <w:tc>
          <w:tcPr>
            <w:tcW w:w="1119"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国内流量</w:t>
            </w:r>
          </w:p>
          <w:p>
            <w:pPr>
              <w:spacing w:line="360" w:lineRule="atLeast"/>
              <w:rPr>
                <w:rFonts w:ascii="Calibri" w:hAnsi="Calibri"/>
                <w:b/>
              </w:rPr>
            </w:pPr>
            <w:r>
              <w:rPr>
                <w:rFonts w:hint="eastAsia"/>
                <w:b/>
              </w:rPr>
              <w:t>（每月）</w:t>
            </w:r>
          </w:p>
        </w:tc>
        <w:tc>
          <w:tcPr>
            <w:tcW w:w="1103"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国内通话（分钟/月）</w:t>
            </w:r>
          </w:p>
        </w:tc>
        <w:tc>
          <w:tcPr>
            <w:tcW w:w="1306" w:type="dxa"/>
            <w:tcBorders>
              <w:top w:val="single" w:color="auto" w:sz="4" w:space="0"/>
              <w:left w:val="single" w:color="auto" w:sz="4" w:space="0"/>
              <w:right w:val="single" w:color="auto" w:sz="4" w:space="0"/>
            </w:tcBorders>
            <w:vAlign w:val="center"/>
          </w:tcPr>
          <w:p>
            <w:pPr>
              <w:spacing w:line="360" w:lineRule="atLeast"/>
              <w:jc w:val="center"/>
              <w:rPr>
                <w:b/>
              </w:rPr>
            </w:pPr>
          </w:p>
          <w:p>
            <w:pPr>
              <w:spacing w:line="360" w:lineRule="atLeast"/>
              <w:jc w:val="center"/>
              <w:rPr>
                <w:b/>
              </w:rPr>
            </w:pPr>
            <w:r>
              <w:rPr>
                <w:rFonts w:hint="eastAsia"/>
                <w:b/>
              </w:rPr>
              <w:t>国内通话超出后资费（元</w:t>
            </w:r>
            <w:r>
              <w:rPr>
                <w:b/>
              </w:rPr>
              <w:t>/</w:t>
            </w:r>
            <w:r>
              <w:rPr>
                <w:rFonts w:hint="eastAsia"/>
                <w:b/>
              </w:rPr>
              <w:t>分钟）</w:t>
            </w:r>
          </w:p>
          <w:p>
            <w:pPr>
              <w:spacing w:line="360" w:lineRule="atLeast"/>
              <w:jc w:val="center"/>
              <w:rPr>
                <w:rFonts w:ascii="Calibri" w:hAnsi="Calibri"/>
                <w:b/>
              </w:rPr>
            </w:pPr>
          </w:p>
        </w:tc>
        <w:tc>
          <w:tcPr>
            <w:tcW w:w="1780"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国内流量超出后资费</w:t>
            </w:r>
          </w:p>
          <w:p>
            <w:pPr>
              <w:spacing w:line="360" w:lineRule="atLeast"/>
              <w:jc w:val="center"/>
              <w:rPr>
                <w:rFonts w:ascii="Calibri" w:hAnsi="Calibri"/>
                <w:b/>
              </w:rPr>
            </w:pPr>
          </w:p>
        </w:tc>
        <w:tc>
          <w:tcPr>
            <w:tcW w:w="1509"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国内短</w:t>
            </w:r>
            <w:r>
              <w:rPr>
                <w:b/>
              </w:rPr>
              <w:t>/</w:t>
            </w:r>
            <w:r>
              <w:rPr>
                <w:rFonts w:hint="eastAsia"/>
                <w:b/>
              </w:rPr>
              <w:t>彩信</w:t>
            </w:r>
          </w:p>
          <w:p>
            <w:pPr>
              <w:spacing w:line="360" w:lineRule="atLeast"/>
              <w:jc w:val="center"/>
              <w:rPr>
                <w:rFonts w:ascii="Calibri" w:hAnsi="Calibri"/>
                <w:b/>
              </w:rPr>
            </w:pPr>
            <w:r>
              <w:rPr>
                <w:rFonts w:hint="eastAsia"/>
                <w:b/>
              </w:rPr>
              <w:t>（元</w:t>
            </w:r>
            <w:r>
              <w:rPr>
                <w:b/>
              </w:rPr>
              <w:t>/</w:t>
            </w:r>
            <w:r>
              <w:rPr>
                <w:rFonts w:hint="eastAsia"/>
                <w:b/>
              </w:rPr>
              <w:t>条）</w:t>
            </w:r>
          </w:p>
        </w:tc>
        <w:tc>
          <w:tcPr>
            <w:tcW w:w="892" w:type="dxa"/>
            <w:tcBorders>
              <w:top w:val="single" w:color="auto" w:sz="4" w:space="0"/>
              <w:left w:val="single" w:color="auto" w:sz="4" w:space="0"/>
              <w:right w:val="single" w:color="auto" w:sz="4" w:space="0"/>
            </w:tcBorders>
            <w:vAlign w:val="center"/>
          </w:tcPr>
          <w:p>
            <w:pPr>
              <w:spacing w:line="360" w:lineRule="atLeast"/>
              <w:jc w:val="center"/>
              <w:rPr>
                <w:rFonts w:ascii="Calibri" w:hAnsi="Calibri"/>
                <w:b/>
              </w:rPr>
            </w:pPr>
            <w:r>
              <w:rPr>
                <w:rFonts w:hint="eastAsia"/>
                <w:b/>
              </w:rPr>
              <w:t>接听免费</w:t>
            </w:r>
          </w:p>
        </w:tc>
        <w:tc>
          <w:tcPr>
            <w:tcW w:w="1022"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超值</w:t>
            </w:r>
          </w:p>
          <w:p>
            <w:pPr>
              <w:spacing w:line="360" w:lineRule="atLeast"/>
              <w:jc w:val="center"/>
              <w:rPr>
                <w:rFonts w:ascii="Calibri" w:hAnsi="Calibri"/>
                <w:b/>
              </w:rPr>
            </w:pPr>
            <w:r>
              <w:rPr>
                <w:rFonts w:hint="eastAsia"/>
                <w:b/>
              </w:rPr>
              <w:t>赠送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w:t>
            </w:r>
          </w:p>
        </w:tc>
        <w:tc>
          <w:tcPr>
            <w:tcW w:w="1119"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20GB</w:t>
            </w:r>
          </w:p>
        </w:tc>
        <w:tc>
          <w:tcPr>
            <w:tcW w:w="1103"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300</w:t>
            </w:r>
          </w:p>
        </w:tc>
        <w:tc>
          <w:tcPr>
            <w:tcW w:w="1306" w:type="dxa"/>
            <w:tcBorders>
              <w:top w:val="single" w:color="auto" w:sz="4" w:space="0"/>
              <w:left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0.15</w:t>
            </w:r>
          </w:p>
        </w:tc>
        <w:tc>
          <w:tcPr>
            <w:tcW w:w="1780" w:type="dxa"/>
            <w:tcBorders>
              <w:top w:val="single" w:color="auto" w:sz="4" w:space="0"/>
              <w:left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免费（降速）</w:t>
            </w:r>
          </w:p>
        </w:tc>
        <w:tc>
          <w:tcPr>
            <w:tcW w:w="1509" w:type="dxa"/>
            <w:tcBorders>
              <w:top w:val="single" w:color="auto" w:sz="4" w:space="0"/>
              <w:left w:val="single" w:color="auto" w:sz="4" w:space="0"/>
              <w:right w:val="single" w:color="auto" w:sz="4" w:space="0"/>
            </w:tcBorders>
            <w:vAlign w:val="center"/>
          </w:tcPr>
          <w:p>
            <w:pPr>
              <w:jc w:val="center"/>
              <w:rPr>
                <w:rFonts w:ascii="微软雅黑" w:hAnsi="微软雅黑" w:eastAsia="微软雅黑"/>
                <w:color w:val="000000"/>
                <w:kern w:val="24"/>
                <w:sz w:val="18"/>
                <w:szCs w:val="18"/>
              </w:rPr>
            </w:pPr>
            <w:r>
              <w:rPr>
                <w:rFonts w:hint="eastAsia" w:ascii="微软雅黑" w:hAnsi="微软雅黑" w:eastAsia="微软雅黑"/>
                <w:color w:val="000000"/>
                <w:kern w:val="24"/>
                <w:sz w:val="18"/>
                <w:szCs w:val="18"/>
              </w:rPr>
              <w:t>0.1</w:t>
            </w:r>
          </w:p>
        </w:tc>
        <w:tc>
          <w:tcPr>
            <w:tcW w:w="892" w:type="dxa"/>
            <w:tcBorders>
              <w:top w:val="single" w:color="auto" w:sz="4" w:space="0"/>
              <w:left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国内</w:t>
            </w:r>
          </w:p>
        </w:tc>
        <w:tc>
          <w:tcPr>
            <w:tcW w:w="1022"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本地群内通话3000分钟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jc w:val="center"/>
        </w:trPr>
        <w:tc>
          <w:tcPr>
            <w:tcW w:w="9816" w:type="dxa"/>
            <w:gridSpan w:val="8"/>
          </w:tcPr>
          <w:p>
            <w:pPr>
              <w:jc w:val="left"/>
              <w:rPr>
                <w:rFonts w:ascii="宋体" w:cs="Arial"/>
                <w:b/>
                <w:sz w:val="20"/>
                <w:szCs w:val="21"/>
              </w:rPr>
            </w:pPr>
            <w:r>
              <w:rPr>
                <w:rFonts w:hint="eastAsia" w:ascii="宋体" w:hAnsi="宋体" w:cs="Arial"/>
                <w:b/>
                <w:sz w:val="20"/>
                <w:szCs w:val="21"/>
              </w:rPr>
              <w:t>备注：</w:t>
            </w:r>
          </w:p>
          <w:p>
            <w:pPr>
              <w:numPr>
                <w:ilvl w:val="0"/>
                <w:numId w:val="2"/>
              </w:numPr>
              <w:jc w:val="left"/>
              <w:rPr>
                <w:rFonts w:ascii="宋体" w:hAnsi="宋体" w:cs="Arial"/>
                <w:b/>
                <w:sz w:val="20"/>
                <w:szCs w:val="21"/>
              </w:rPr>
            </w:pPr>
            <w:r>
              <w:rPr>
                <w:rFonts w:hint="eastAsia"/>
                <w:b/>
                <w:sz w:val="20"/>
              </w:rPr>
              <w:t>本规则中所有“国内”业务均仅限于大陆地区使用，不含港澳台。</w:t>
            </w:r>
          </w:p>
          <w:p>
            <w:pPr>
              <w:jc w:val="left"/>
              <w:rPr>
                <w:rFonts w:ascii="宋体" w:hAnsi="Calibri" w:cs="Arial"/>
                <w:b/>
                <w:sz w:val="20"/>
                <w:szCs w:val="21"/>
              </w:rPr>
            </w:pPr>
            <w:r>
              <w:rPr>
                <w:b/>
                <w:sz w:val="20"/>
              </w:rPr>
              <w:t>2</w:t>
            </w:r>
            <w:r>
              <w:rPr>
                <w:rFonts w:hint="eastAsia"/>
                <w:b/>
                <w:sz w:val="20"/>
              </w:rPr>
              <w:t>、本规则中所有语音资费均不含拨打各类接入号及声讯电话后产生的特定的通话费或信息费（包括但不限于17909、11808、800等接入号及各类声讯信息费用）。语音计费不足</w:t>
            </w:r>
            <w:r>
              <w:rPr>
                <w:b/>
                <w:sz w:val="20"/>
              </w:rPr>
              <w:t>1</w:t>
            </w:r>
            <w:r>
              <w:rPr>
                <w:rFonts w:hint="eastAsia"/>
                <w:b/>
                <w:sz w:val="20"/>
              </w:rPr>
              <w:t>分钟按</w:t>
            </w:r>
            <w:r>
              <w:rPr>
                <w:b/>
                <w:sz w:val="20"/>
              </w:rPr>
              <w:t>1</w:t>
            </w:r>
            <w:r>
              <w:rPr>
                <w:rFonts w:hint="eastAsia"/>
                <w:b/>
                <w:sz w:val="20"/>
              </w:rPr>
              <w:t>分钟计收。</w:t>
            </w:r>
          </w:p>
          <w:p>
            <w:pPr>
              <w:jc w:val="left"/>
              <w:rPr>
                <w:b/>
                <w:sz w:val="20"/>
              </w:rPr>
            </w:pPr>
            <w:r>
              <w:rPr>
                <w:rFonts w:ascii="宋体" w:hAnsi="宋体" w:cs="Arial"/>
                <w:b/>
                <w:sz w:val="20"/>
                <w:szCs w:val="21"/>
              </w:rPr>
              <w:t>3</w:t>
            </w:r>
            <w:r>
              <w:rPr>
                <w:rFonts w:hint="eastAsia" w:ascii="宋体" w:hAnsi="宋体" w:cs="Arial"/>
                <w:b/>
                <w:sz w:val="20"/>
                <w:szCs w:val="21"/>
              </w:rPr>
              <w:t>、</w:t>
            </w:r>
            <w:r>
              <w:rPr>
                <w:rFonts w:hint="eastAsia"/>
                <w:b/>
                <w:sz w:val="20"/>
              </w:rPr>
              <w:t>手机国内上网流量不区分</w:t>
            </w:r>
            <w:r>
              <w:rPr>
                <w:b/>
                <w:sz w:val="20"/>
              </w:rPr>
              <w:t>4G</w:t>
            </w:r>
            <w:r>
              <w:rPr>
                <w:rFonts w:hint="eastAsia"/>
                <w:b/>
                <w:sz w:val="20"/>
              </w:rPr>
              <w:t>、</w:t>
            </w:r>
            <w:r>
              <w:rPr>
                <w:b/>
                <w:sz w:val="20"/>
              </w:rPr>
              <w:t>3G</w:t>
            </w:r>
            <w:r>
              <w:rPr>
                <w:rFonts w:hint="eastAsia"/>
                <w:b/>
                <w:sz w:val="20"/>
              </w:rPr>
              <w:t>、</w:t>
            </w:r>
            <w:r>
              <w:rPr>
                <w:b/>
                <w:sz w:val="20"/>
              </w:rPr>
              <w:t>2G</w:t>
            </w:r>
            <w:r>
              <w:rPr>
                <w:rFonts w:hint="eastAsia"/>
                <w:b/>
                <w:sz w:val="20"/>
              </w:rPr>
              <w:t>网络接入方式，不含</w:t>
            </w:r>
            <w:r>
              <w:rPr>
                <w:b/>
                <w:sz w:val="20"/>
              </w:rPr>
              <w:t>WLAN(Wi-Fi)</w:t>
            </w:r>
            <w:r>
              <w:rPr>
                <w:rFonts w:hint="eastAsia"/>
                <w:b/>
                <w:sz w:val="20"/>
              </w:rPr>
              <w:t>。</w:t>
            </w:r>
          </w:p>
          <w:p>
            <w:pPr>
              <w:spacing w:line="360" w:lineRule="atLeast"/>
              <w:rPr>
                <w:rFonts w:ascii="宋体" w:hAnsi="宋体" w:cs="Arial"/>
                <w:b/>
                <w:sz w:val="20"/>
                <w:szCs w:val="21"/>
              </w:rPr>
            </w:pPr>
            <w:r>
              <w:rPr>
                <w:b/>
                <w:sz w:val="20"/>
              </w:rPr>
              <w:t>4</w:t>
            </w:r>
            <w:r>
              <w:rPr>
                <w:rFonts w:hint="eastAsia"/>
                <w:b/>
                <w:sz w:val="20"/>
              </w:rPr>
              <w:t>、套餐内包含的国内流量限当月使用。</w:t>
            </w:r>
          </w:p>
        </w:tc>
      </w:tr>
    </w:tbl>
    <w:p>
      <w:pPr>
        <w:spacing w:line="360" w:lineRule="atLeast"/>
        <w:rPr>
          <w:rFonts w:ascii="Calibri" w:hAnsi="Calibri"/>
          <w:b/>
        </w:rPr>
      </w:pPr>
      <w:r>
        <w:rPr>
          <w:b/>
        </w:rPr>
        <w:t>1.2</w:t>
      </w:r>
      <w:r>
        <w:rPr>
          <w:rFonts w:hint="eastAsia"/>
          <w:b/>
        </w:rPr>
        <w:t>副卡：</w:t>
      </w:r>
    </w:p>
    <w:tbl>
      <w:tblPr>
        <w:tblStyle w:val="7"/>
        <w:tblW w:w="86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686"/>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35" w:type="dxa"/>
            <w:tcBorders>
              <w:top w:val="single" w:color="auto" w:sz="4" w:space="0"/>
              <w:left w:val="single" w:color="auto" w:sz="4" w:space="0"/>
              <w:bottom w:val="single" w:color="auto" w:sz="4" w:space="0"/>
              <w:right w:val="single" w:color="auto" w:sz="4" w:space="0"/>
            </w:tcBorders>
          </w:tcPr>
          <w:p>
            <w:pPr>
              <w:pStyle w:val="4"/>
              <w:kinsoku w:val="0"/>
              <w:overflowPunct w:val="0"/>
              <w:spacing w:before="0" w:beforeAutospacing="0" w:after="0" w:afterAutospacing="0" w:line="240" w:lineRule="atLeast"/>
              <w:jc w:val="center"/>
              <w:textAlignment w:val="baseline"/>
              <w:rPr>
                <w:b/>
                <w:bCs/>
                <w:kern w:val="24"/>
                <w:sz w:val="20"/>
                <w:szCs w:val="20"/>
              </w:rPr>
            </w:pPr>
            <w:r>
              <w:rPr>
                <w:rFonts w:hint="eastAsia"/>
                <w:b/>
                <w:bCs/>
                <w:kern w:val="24"/>
                <w:sz w:val="20"/>
                <w:szCs w:val="20"/>
              </w:rPr>
              <w:t>月基本费</w:t>
            </w:r>
          </w:p>
          <w:p>
            <w:pPr>
              <w:pStyle w:val="4"/>
              <w:kinsoku w:val="0"/>
              <w:overflowPunct w:val="0"/>
              <w:spacing w:before="0" w:beforeAutospacing="0" w:after="0" w:afterAutospacing="0" w:line="240" w:lineRule="atLeast"/>
              <w:jc w:val="center"/>
              <w:textAlignment w:val="baseline"/>
              <w:rPr>
                <w:b/>
                <w:bCs/>
                <w:kern w:val="24"/>
                <w:sz w:val="20"/>
                <w:szCs w:val="20"/>
              </w:rPr>
            </w:pPr>
            <w:r>
              <w:rPr>
                <w:rFonts w:hint="eastAsia"/>
                <w:b/>
                <w:bCs/>
                <w:kern w:val="24"/>
                <w:sz w:val="20"/>
                <w:szCs w:val="20"/>
              </w:rPr>
              <w:t>(元/号)</w:t>
            </w:r>
          </w:p>
        </w:tc>
        <w:tc>
          <w:tcPr>
            <w:tcW w:w="3686" w:type="dxa"/>
            <w:tcBorders>
              <w:top w:val="single" w:color="auto" w:sz="4" w:space="0"/>
              <w:left w:val="single" w:color="auto" w:sz="4" w:space="0"/>
              <w:bottom w:val="single" w:color="auto" w:sz="4" w:space="0"/>
              <w:right w:val="single" w:color="auto" w:sz="4" w:space="0"/>
            </w:tcBorders>
          </w:tcPr>
          <w:p>
            <w:pPr>
              <w:pStyle w:val="4"/>
              <w:kinsoku w:val="0"/>
              <w:overflowPunct w:val="0"/>
              <w:spacing w:before="0" w:beforeAutospacing="0" w:after="0" w:afterAutospacing="0" w:line="240" w:lineRule="atLeast"/>
              <w:jc w:val="center"/>
              <w:textAlignment w:val="baseline"/>
              <w:rPr>
                <w:b/>
                <w:bCs/>
                <w:kern w:val="24"/>
                <w:sz w:val="20"/>
                <w:szCs w:val="20"/>
              </w:rPr>
            </w:pPr>
            <w:r>
              <w:rPr>
                <w:rFonts w:hint="eastAsia"/>
                <w:b/>
                <w:bCs/>
                <w:kern w:val="24"/>
                <w:sz w:val="20"/>
                <w:szCs w:val="20"/>
              </w:rPr>
              <w:t>包含内容</w:t>
            </w:r>
          </w:p>
        </w:tc>
        <w:tc>
          <w:tcPr>
            <w:tcW w:w="1559" w:type="dxa"/>
            <w:tcBorders>
              <w:top w:val="single" w:color="auto" w:sz="4" w:space="0"/>
              <w:left w:val="single" w:color="auto" w:sz="4" w:space="0"/>
              <w:bottom w:val="single" w:color="auto" w:sz="4" w:space="0"/>
              <w:right w:val="single" w:color="auto" w:sz="4" w:space="0"/>
            </w:tcBorders>
          </w:tcPr>
          <w:p>
            <w:pPr>
              <w:pStyle w:val="4"/>
              <w:kinsoku w:val="0"/>
              <w:overflowPunct w:val="0"/>
              <w:spacing w:before="0" w:beforeAutospacing="0" w:after="0" w:afterAutospacing="0" w:line="240" w:lineRule="atLeast"/>
              <w:jc w:val="center"/>
              <w:textAlignment w:val="baseline"/>
              <w:rPr>
                <w:b/>
                <w:bCs/>
                <w:kern w:val="24"/>
                <w:sz w:val="20"/>
                <w:szCs w:val="20"/>
              </w:rPr>
            </w:pPr>
            <w:r>
              <w:rPr>
                <w:rFonts w:hint="eastAsia"/>
                <w:b/>
                <w:bCs/>
                <w:kern w:val="24"/>
                <w:sz w:val="20"/>
                <w:szCs w:val="20"/>
              </w:rPr>
              <w:t>接听免费</w:t>
            </w:r>
          </w:p>
        </w:tc>
        <w:tc>
          <w:tcPr>
            <w:tcW w:w="2268" w:type="dxa"/>
            <w:tcBorders>
              <w:top w:val="single" w:color="auto" w:sz="4" w:space="0"/>
              <w:left w:val="single" w:color="auto" w:sz="4" w:space="0"/>
              <w:bottom w:val="single" w:color="auto" w:sz="4" w:space="0"/>
              <w:right w:val="single" w:color="auto" w:sz="4" w:space="0"/>
            </w:tcBorders>
          </w:tcPr>
          <w:p>
            <w:pPr>
              <w:pStyle w:val="4"/>
              <w:kinsoku w:val="0"/>
              <w:overflowPunct w:val="0"/>
              <w:spacing w:before="0" w:beforeAutospacing="0" w:after="0" w:afterAutospacing="0" w:line="240" w:lineRule="atLeast"/>
              <w:jc w:val="center"/>
              <w:textAlignment w:val="baseline"/>
              <w:rPr>
                <w:b/>
                <w:bCs/>
                <w:kern w:val="24"/>
                <w:sz w:val="20"/>
                <w:szCs w:val="20"/>
              </w:rPr>
            </w:pPr>
            <w:r>
              <w:rPr>
                <w:rFonts w:hint="eastAsia"/>
                <w:b/>
                <w:bCs/>
                <w:kern w:val="24"/>
                <w:sz w:val="20"/>
                <w:szCs w:val="20"/>
              </w:rPr>
              <w:t>超值赠送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135" w:type="dxa"/>
            <w:tcBorders>
              <w:top w:val="single" w:color="auto" w:sz="4" w:space="0"/>
              <w:left w:val="single" w:color="auto" w:sz="4" w:space="0"/>
              <w:right w:val="single" w:color="auto" w:sz="4" w:space="0"/>
            </w:tcBorders>
            <w:vAlign w:val="center"/>
          </w:tcPr>
          <w:p>
            <w:pPr>
              <w:pStyle w:val="8"/>
              <w:ind w:firstLine="201" w:firstLineChars="100"/>
              <w:rPr>
                <w:b/>
                <w:sz w:val="20"/>
              </w:rPr>
            </w:pPr>
            <w:r>
              <w:rPr>
                <w:b/>
                <w:sz w:val="20"/>
              </w:rPr>
              <w:t>5</w:t>
            </w:r>
          </w:p>
        </w:tc>
        <w:tc>
          <w:tcPr>
            <w:tcW w:w="3686" w:type="dxa"/>
            <w:tcBorders>
              <w:top w:val="single" w:color="auto" w:sz="4" w:space="0"/>
              <w:left w:val="single" w:color="auto" w:sz="4" w:space="0"/>
              <w:right w:val="single" w:color="auto" w:sz="4" w:space="0"/>
            </w:tcBorders>
            <w:vAlign w:val="center"/>
          </w:tcPr>
          <w:p>
            <w:pPr>
              <w:pStyle w:val="8"/>
              <w:ind w:firstLine="0" w:firstLineChars="0"/>
              <w:rPr>
                <w:b/>
                <w:sz w:val="20"/>
              </w:rPr>
            </w:pPr>
            <w:r>
              <w:rPr>
                <w:rFonts w:hint="eastAsia"/>
                <w:b/>
                <w:sz w:val="20"/>
              </w:rPr>
              <w:t>共享主卡基础套餐内容</w:t>
            </w:r>
          </w:p>
        </w:tc>
        <w:tc>
          <w:tcPr>
            <w:tcW w:w="1559" w:type="dxa"/>
            <w:tcBorders>
              <w:top w:val="single" w:color="auto" w:sz="4" w:space="0"/>
              <w:left w:val="single" w:color="auto" w:sz="4" w:space="0"/>
              <w:right w:val="single" w:color="auto" w:sz="4" w:space="0"/>
            </w:tcBorders>
            <w:vAlign w:val="center"/>
          </w:tcPr>
          <w:p>
            <w:pPr>
              <w:pStyle w:val="8"/>
              <w:ind w:firstLine="0" w:firstLineChars="0"/>
              <w:jc w:val="center"/>
              <w:rPr>
                <w:b/>
                <w:sz w:val="20"/>
              </w:rPr>
            </w:pPr>
            <w:r>
              <w:rPr>
                <w:rFonts w:hint="eastAsia"/>
                <w:b/>
                <w:sz w:val="20"/>
              </w:rPr>
              <w:t>国内</w:t>
            </w:r>
          </w:p>
        </w:tc>
        <w:tc>
          <w:tcPr>
            <w:tcW w:w="2268" w:type="dxa"/>
            <w:tcBorders>
              <w:top w:val="single" w:color="auto" w:sz="4" w:space="0"/>
              <w:left w:val="single" w:color="auto" w:sz="4" w:space="0"/>
              <w:right w:val="single" w:color="auto" w:sz="4" w:space="0"/>
            </w:tcBorders>
            <w:vAlign w:val="center"/>
          </w:tcPr>
          <w:p>
            <w:pPr>
              <w:pStyle w:val="8"/>
              <w:ind w:firstLine="0" w:firstLineChars="0"/>
              <w:jc w:val="center"/>
              <w:rPr>
                <w:b/>
                <w:sz w:val="20"/>
              </w:rPr>
            </w:pPr>
            <w:r>
              <w:rPr>
                <w:rFonts w:hint="eastAsia"/>
                <w:b/>
                <w:sz w:val="20"/>
              </w:rPr>
              <w:t>来电显示；</w:t>
            </w:r>
          </w:p>
          <w:p>
            <w:pPr>
              <w:pStyle w:val="8"/>
              <w:ind w:firstLine="0" w:firstLineChars="0"/>
              <w:jc w:val="center"/>
              <w:rPr>
                <w:b/>
                <w:sz w:val="20"/>
              </w:rPr>
            </w:pPr>
            <w:r>
              <w:rPr>
                <w:b/>
                <w:sz w:val="20"/>
              </w:rPr>
              <w:t>189</w:t>
            </w:r>
            <w:r>
              <w:rPr>
                <w:rFonts w:hint="eastAsia"/>
                <w:b/>
                <w:sz w:val="2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48" w:type="dxa"/>
            <w:gridSpan w:val="4"/>
            <w:tcBorders>
              <w:top w:val="single" w:color="auto" w:sz="4" w:space="0"/>
              <w:left w:val="single" w:color="auto" w:sz="4" w:space="0"/>
              <w:bottom w:val="single" w:color="auto" w:sz="4" w:space="0"/>
              <w:right w:val="single" w:color="auto" w:sz="4" w:space="0"/>
            </w:tcBorders>
            <w:vAlign w:val="center"/>
          </w:tcPr>
          <w:p>
            <w:pPr>
              <w:pStyle w:val="8"/>
              <w:ind w:firstLine="0" w:firstLineChars="0"/>
              <w:rPr>
                <w:b/>
                <w:sz w:val="20"/>
              </w:rPr>
            </w:pPr>
            <w:r>
              <w:rPr>
                <w:rFonts w:hint="eastAsia"/>
                <w:b/>
                <w:sz w:val="20"/>
              </w:rPr>
              <w:t>备注：</w:t>
            </w:r>
          </w:p>
          <w:p>
            <w:pPr>
              <w:pStyle w:val="8"/>
              <w:ind w:firstLine="0" w:firstLineChars="0"/>
              <w:rPr>
                <w:sz w:val="20"/>
              </w:rPr>
            </w:pPr>
            <w:r>
              <w:rPr>
                <w:rFonts w:hint="eastAsia"/>
                <w:sz w:val="20"/>
              </w:rPr>
              <w:t>一张主卡最多可叠加2张副卡，</w:t>
            </w:r>
            <w:r>
              <w:rPr>
                <w:rFonts w:hint="eastAsia"/>
                <w:sz w:val="20"/>
                <w:lang w:eastAsia="zh-CN"/>
              </w:rPr>
              <w:t>此副卡</w:t>
            </w:r>
            <w:bookmarkStart w:id="0" w:name="_GoBack"/>
            <w:bookmarkEnd w:id="0"/>
            <w:r>
              <w:rPr>
                <w:rFonts w:hint="eastAsia"/>
                <w:sz w:val="20"/>
                <w:lang w:eastAsia="zh-CN"/>
              </w:rPr>
              <w:t>可</w:t>
            </w:r>
            <w:r>
              <w:rPr>
                <w:rFonts w:hint="eastAsia"/>
                <w:sz w:val="20"/>
              </w:rPr>
              <w:t>保留原号码</w:t>
            </w:r>
            <w:r>
              <w:rPr>
                <w:rFonts w:hint="eastAsia"/>
                <w:sz w:val="20"/>
                <w:lang w:eastAsia="zh-CN"/>
              </w:rPr>
              <w:t>转入，也可新办。首张</w:t>
            </w:r>
            <w:r>
              <w:rPr>
                <w:rFonts w:hint="eastAsia"/>
                <w:sz w:val="20"/>
              </w:rPr>
              <w:t>副卡免收月基本费</w:t>
            </w:r>
            <w:r>
              <w:rPr>
                <w:rFonts w:hint="eastAsia"/>
                <w:sz w:val="20"/>
                <w:lang w:eastAsia="zh-CN"/>
              </w:rPr>
              <w:t>，</w:t>
            </w:r>
            <w:r>
              <w:rPr>
                <w:rFonts w:hint="eastAsia"/>
                <w:sz w:val="20"/>
              </w:rPr>
              <w:t>超出后的副卡月基本费5元/号。</w:t>
            </w:r>
          </w:p>
        </w:tc>
      </w:tr>
    </w:tbl>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spacing w:val="23"/>
          <w:kern w:val="0"/>
          <w:szCs w:val="21"/>
        </w:rPr>
        <w:t>1、一个主卡套餐可配套开通最多二张副卡（１主＋２副）。</w:t>
      </w:r>
      <w:r>
        <w:rPr>
          <w:rFonts w:hint="eastAsia" w:cs="宋体" w:asciiTheme="minorEastAsia" w:hAnsiTheme="minorEastAsia"/>
          <w:b/>
          <w:spacing w:val="23"/>
          <w:kern w:val="0"/>
          <w:szCs w:val="21"/>
          <w:highlight w:val="yellow"/>
          <w:shd w:val="clear" w:color="auto" w:fill="E5B9B7"/>
        </w:rPr>
        <w:t>教职员工原电信套餐协议到期后可保留原号码参与此次活动作为副卡使用。</w:t>
      </w:r>
      <w:r>
        <w:rPr>
          <w:rFonts w:hint="eastAsia" w:cs="宋体" w:asciiTheme="minorEastAsia" w:hAnsiTheme="minorEastAsia"/>
          <w:spacing w:val="23"/>
          <w:kern w:val="0"/>
          <w:szCs w:val="21"/>
        </w:rPr>
        <w:t>再申请第二张副卡月基本费5元/号。副卡生效后,可共享主卡基础套餐内容。</w:t>
      </w:r>
      <w:r>
        <w:rPr>
          <w:rFonts w:hint="eastAsia" w:cs="宋体" w:asciiTheme="minorEastAsia" w:hAnsiTheme="minorEastAsia"/>
          <w:b/>
          <w:bCs/>
          <w:spacing w:val="23"/>
          <w:kern w:val="0"/>
          <w:szCs w:val="21"/>
        </w:rPr>
        <w:t>若参加本活动套餐的主卡退出营销活动，则副卡套餐也随之退出，均恢复产品的标准资费。</w:t>
      </w:r>
    </w:p>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spacing w:val="23"/>
          <w:kern w:val="0"/>
          <w:szCs w:val="21"/>
        </w:rPr>
        <w:t>2、本活动为包月套餐，套餐内包含的各业务量均限当月使用。</w:t>
      </w:r>
    </w:p>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b/>
          <w:bCs/>
          <w:spacing w:val="23"/>
          <w:kern w:val="0"/>
          <w:szCs w:val="21"/>
        </w:rPr>
        <w:t>3、套餐资费标准自业务完工后次月1日生效。业务完工至套餐资费标准生效期间：</w:t>
      </w:r>
    </w:p>
    <w:p>
      <w:pPr>
        <w:widowControl/>
        <w:shd w:val="clear" w:color="auto" w:fill="FFFFFF"/>
        <w:spacing w:line="240" w:lineRule="atLeast"/>
        <w:rPr>
          <w:rFonts w:cs="宋体" w:asciiTheme="minorEastAsia" w:hAnsiTheme="minorEastAsia"/>
          <w:spacing w:val="23"/>
          <w:kern w:val="0"/>
          <w:szCs w:val="21"/>
        </w:rPr>
      </w:pPr>
      <w:r>
        <w:rPr>
          <w:rFonts w:hint="eastAsia" w:cs="宋体" w:asciiTheme="minorEastAsia" w:hAnsiTheme="minorEastAsia"/>
          <w:b/>
          <w:bCs/>
          <w:spacing w:val="23"/>
          <w:kern w:val="0"/>
          <w:szCs w:val="21"/>
        </w:rPr>
        <w:t>新入网客户参加本活动的，首月免收月基本费</w:t>
      </w:r>
      <w:r>
        <w:rPr>
          <w:rFonts w:hint="eastAsia" w:cs="宋体" w:asciiTheme="minorEastAsia" w:hAnsiTheme="minorEastAsia"/>
          <w:spacing w:val="23"/>
          <w:kern w:val="0"/>
          <w:szCs w:val="21"/>
        </w:rPr>
        <w:t>，</w:t>
      </w:r>
      <w:r>
        <w:rPr>
          <w:rFonts w:hint="eastAsia" w:cs="宋体" w:asciiTheme="minorEastAsia" w:hAnsiTheme="minorEastAsia"/>
          <w:b/>
          <w:bCs/>
          <w:spacing w:val="23"/>
          <w:kern w:val="0"/>
          <w:szCs w:val="21"/>
        </w:rPr>
        <w:t>可享受套餐内优惠量</w:t>
      </w:r>
      <w:r>
        <w:rPr>
          <w:rFonts w:hint="eastAsia" w:cs="宋体" w:asciiTheme="minorEastAsia" w:hAnsiTheme="minorEastAsia"/>
          <w:spacing w:val="23"/>
          <w:kern w:val="0"/>
          <w:szCs w:val="21"/>
        </w:rPr>
        <w:t>（所包含的国内通话时长、国内上网流量）</w:t>
      </w:r>
      <w:r>
        <w:rPr>
          <w:rFonts w:hint="eastAsia" w:cs="宋体" w:asciiTheme="minorEastAsia" w:hAnsiTheme="minorEastAsia"/>
          <w:b/>
          <w:bCs/>
          <w:spacing w:val="23"/>
          <w:kern w:val="0"/>
          <w:szCs w:val="21"/>
        </w:rPr>
        <w:t>按照“客户入网当日至月末的天数/当月天数”的比例折算向上取整</w:t>
      </w:r>
      <w:r>
        <w:rPr>
          <w:rFonts w:hint="eastAsia" w:cs="宋体" w:asciiTheme="minorEastAsia" w:hAnsiTheme="minorEastAsia"/>
          <w:spacing w:val="23"/>
          <w:kern w:val="0"/>
          <w:szCs w:val="21"/>
        </w:rPr>
        <w:t>（上网流量精确到KB、国内通话时长精确到分钟），超出后手机国内上网自动执行达量降速功能。即当月主卡套餐及流量包内包含的所有上网流量使用完毕后，主卡及副卡的国内上网速率将自动降速至最高1Mbps，并可畅享使用。次月恢复原有套餐速率。</w:t>
      </w:r>
    </w:p>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spacing w:val="23"/>
          <w:kern w:val="0"/>
          <w:szCs w:val="21"/>
        </w:rPr>
        <w:t>4、手机国内接听免费。套餐内189邮箱、来电显示功能费和一次性费用免收。</w:t>
      </w:r>
      <w:r>
        <w:rPr>
          <w:rFonts w:hint="eastAsia" w:cs="宋体" w:asciiTheme="minorEastAsia" w:hAnsiTheme="minorEastAsia"/>
          <w:b/>
          <w:bCs/>
          <w:spacing w:val="23"/>
          <w:kern w:val="0"/>
          <w:szCs w:val="21"/>
        </w:rPr>
        <w:t>其他业务超出后按套餐规定的超出后资费计收。</w:t>
      </w:r>
      <w:r>
        <w:rPr>
          <w:rFonts w:hint="eastAsia" w:cs="宋体" w:asciiTheme="minorEastAsia" w:hAnsiTheme="minorEastAsia"/>
          <w:spacing w:val="23"/>
          <w:kern w:val="0"/>
          <w:szCs w:val="21"/>
        </w:rPr>
        <w:t>未注明的其他资费按现行有效的标准资费计收。</w:t>
      </w:r>
    </w:p>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spacing w:val="23"/>
          <w:kern w:val="0"/>
          <w:szCs w:val="21"/>
        </w:rPr>
        <w:t>5、本规则中所有“国内”业务均仅限于大陆地区使用，不含港澳台。</w:t>
      </w:r>
    </w:p>
    <w:p>
      <w:pPr>
        <w:widowControl/>
        <w:shd w:val="clear" w:color="auto" w:fill="FFFFFF"/>
        <w:spacing w:line="240" w:lineRule="atLeast"/>
        <w:ind w:firstLine="420"/>
        <w:rPr>
          <w:rFonts w:cs="宋体" w:asciiTheme="minorEastAsia" w:hAnsiTheme="minorEastAsia"/>
          <w:spacing w:val="23"/>
          <w:kern w:val="0"/>
          <w:szCs w:val="21"/>
        </w:rPr>
      </w:pPr>
      <w:r>
        <w:rPr>
          <w:rFonts w:hint="eastAsia" w:cs="宋体" w:asciiTheme="minorEastAsia" w:hAnsiTheme="minorEastAsia"/>
          <w:spacing w:val="23"/>
          <w:kern w:val="0"/>
          <w:szCs w:val="21"/>
        </w:rPr>
        <w:t>6、本套餐可订购的流量可选包范围详询10000号。</w:t>
      </w:r>
    </w:p>
    <w:p>
      <w:pPr>
        <w:widowControl/>
        <w:shd w:val="clear" w:color="auto" w:fill="FFFFFF"/>
        <w:spacing w:line="240" w:lineRule="atLeast"/>
        <w:rPr>
          <w:rFonts w:cs="宋体" w:asciiTheme="minorEastAsia" w:hAnsiTheme="minorEastAsia"/>
          <w:spacing w:val="23"/>
          <w:kern w:val="0"/>
          <w:szCs w:val="21"/>
        </w:rPr>
      </w:pPr>
      <w:r>
        <w:rPr>
          <w:rFonts w:hint="eastAsia" w:cs="宋体" w:asciiTheme="minorEastAsia" w:hAnsiTheme="minorEastAsia"/>
          <w:spacing w:val="23"/>
          <w:kern w:val="0"/>
          <w:szCs w:val="21"/>
        </w:rPr>
        <w:t>  7、其他未注明的资费，按照中国电信上海公司标准资费计收。</w:t>
      </w:r>
    </w:p>
    <w:p>
      <w:pPr>
        <w:widowControl/>
        <w:shd w:val="clear" w:color="auto" w:fill="FFFFFF"/>
        <w:spacing w:line="240" w:lineRule="atLeast"/>
        <w:ind w:firstLine="420"/>
        <w:textAlignment w:val="baseline"/>
        <w:rPr>
          <w:rFonts w:cs="宋体" w:asciiTheme="minorEastAsia" w:hAnsiTheme="minorEastAsia"/>
          <w:spacing w:val="23"/>
          <w:kern w:val="0"/>
          <w:szCs w:val="21"/>
        </w:rPr>
      </w:pPr>
      <w:r>
        <w:rPr>
          <w:rFonts w:hint="eastAsia" w:cs="宋体" w:asciiTheme="minorEastAsia" w:hAnsiTheme="minorEastAsia"/>
          <w:b/>
          <w:bCs/>
          <w:spacing w:val="23"/>
          <w:kern w:val="0"/>
          <w:szCs w:val="21"/>
        </w:rPr>
        <w:t>8、本活动套餐资费</w:t>
      </w:r>
      <w:r>
        <w:rPr>
          <w:rFonts w:hint="eastAsia" w:cs="宋体" w:asciiTheme="minorEastAsia" w:hAnsiTheme="minorEastAsia"/>
          <w:b/>
          <w:bCs/>
          <w:color w:val="FF0000"/>
          <w:spacing w:val="23"/>
          <w:kern w:val="0"/>
          <w:szCs w:val="21"/>
        </w:rPr>
        <w:t>协议期1年</w:t>
      </w:r>
      <w:r>
        <w:rPr>
          <w:rFonts w:hint="eastAsia" w:cs="宋体" w:asciiTheme="minorEastAsia" w:hAnsiTheme="minorEastAsia"/>
          <w:b/>
          <w:bCs/>
          <w:spacing w:val="23"/>
          <w:kern w:val="0"/>
          <w:szCs w:val="21"/>
        </w:rPr>
        <w:t>（客户参加各类补贴活动对协议期另有约定的，从其约定），自客户办理套餐完工后次月1日起算。协议期满，客户可提出业务变更或业务注销（拆机）并办理相应手续，办理后套餐（含副卡）优惠终止。客户可以选择参加所在时刻有效的“天翼”套餐。套餐变更自完工的次月1日起生效。</w:t>
      </w:r>
    </w:p>
    <w:p>
      <w:pPr>
        <w:widowControl/>
        <w:shd w:val="clear" w:color="auto" w:fill="FFFFFF"/>
        <w:spacing w:line="240" w:lineRule="atLeast"/>
        <w:ind w:firstLine="420"/>
        <w:textAlignment w:val="baseline"/>
        <w:rPr>
          <w:rFonts w:cs="宋体" w:asciiTheme="minorEastAsia" w:hAnsiTheme="minorEastAsia"/>
          <w:spacing w:val="23"/>
          <w:kern w:val="0"/>
          <w:szCs w:val="21"/>
        </w:rPr>
      </w:pPr>
      <w:r>
        <w:rPr>
          <w:rFonts w:hint="eastAsia" w:cs="宋体" w:asciiTheme="minorEastAsia" w:hAnsiTheme="minorEastAsia"/>
          <w:b/>
          <w:bCs/>
          <w:spacing w:val="23"/>
          <w:kern w:val="0"/>
          <w:szCs w:val="21"/>
        </w:rPr>
        <w:t>期满后客户未办理业务变更或业务注销（拆机）手续的，中国电信上海公司在仍有能力继续提供本规则约定的套餐、且客户未发生欠费的情况下，将继续按本规则约定的套餐资费标准向客户提供通信服务。</w:t>
      </w:r>
      <w:r>
        <w:rPr>
          <w:rFonts w:hint="eastAsia" w:cs="宋体" w:asciiTheme="minorEastAsia" w:hAnsiTheme="minorEastAsia"/>
          <w:spacing w:val="23"/>
          <w:kern w:val="0"/>
          <w:szCs w:val="21"/>
        </w:rPr>
        <w:t>若中国电信上海公司不能继续提供本规则约定的套餐资费，有义务提前一个月通知客户终止套餐优惠。</w:t>
      </w:r>
    </w:p>
    <w:p>
      <w:pPr>
        <w:widowControl/>
        <w:shd w:val="clear" w:color="auto" w:fill="FFFFFF"/>
        <w:spacing w:line="240" w:lineRule="atLeast"/>
        <w:ind w:firstLine="420"/>
        <w:textAlignment w:val="baseline"/>
        <w:rPr>
          <w:rFonts w:cs="宋体" w:asciiTheme="minorEastAsia" w:hAnsiTheme="minorEastAsia"/>
          <w:b/>
          <w:bCs/>
          <w:spacing w:val="23"/>
          <w:kern w:val="0"/>
          <w:szCs w:val="21"/>
        </w:rPr>
      </w:pPr>
      <w:r>
        <w:rPr>
          <w:rFonts w:hint="eastAsia" w:cs="宋体" w:asciiTheme="minorEastAsia" w:hAnsiTheme="minorEastAsia"/>
          <w:b/>
          <w:bCs/>
          <w:spacing w:val="23"/>
          <w:kern w:val="0"/>
          <w:szCs w:val="21"/>
        </w:rPr>
        <w:t>9、套餐使用期间，参加本活动套餐的相关业务如办理过户、停机保号或业务注销（拆机）手续的，视为因客户原因退出本活动。套餐（含可选包）终止。</w:t>
      </w:r>
    </w:p>
    <w:p>
      <w:pPr>
        <w:widowControl/>
        <w:shd w:val="clear" w:color="auto" w:fill="FFFFFF"/>
        <w:spacing w:line="240" w:lineRule="atLeast"/>
        <w:ind w:firstLine="420"/>
        <w:textAlignment w:val="baseline"/>
        <w:rPr>
          <w:rFonts w:cs="宋体" w:asciiTheme="minorEastAsia" w:hAnsiTheme="minorEastAsia"/>
          <w:spacing w:val="23"/>
          <w:kern w:val="0"/>
          <w:szCs w:val="21"/>
        </w:rPr>
      </w:pPr>
    </w:p>
    <w:p>
      <w:pPr>
        <w:rPr>
          <w:b/>
        </w:rPr>
      </w:pPr>
      <w:r>
        <w:rPr>
          <w:rFonts w:hint="eastAsia"/>
          <w:b/>
          <w:highlight w:val="yellow"/>
        </w:rPr>
        <w:t>原先60/90元套餐:</w:t>
      </w:r>
      <w:r>
        <w:rPr>
          <w:rFonts w:hint="eastAsia"/>
          <w:b/>
        </w:rPr>
        <w:t>推荐 行业大流量套餐（59/99元档次）：</w:t>
      </w:r>
    </w:p>
    <w:p>
      <w:pPr>
        <w:rPr>
          <w:b/>
        </w:rPr>
      </w:pPr>
      <w:r>
        <w:rPr>
          <w:rFonts w:hint="eastAsia"/>
          <w:b/>
        </w:rPr>
        <w:t>1.3主卡基础套餐：</w:t>
      </w:r>
    </w:p>
    <w:tbl>
      <w:tblPr>
        <w:tblStyle w:val="7"/>
        <w:tblW w:w="9654" w:type="dxa"/>
        <w:tblInd w:w="93" w:type="dxa"/>
        <w:tblLayout w:type="fixed"/>
        <w:tblCellMar>
          <w:top w:w="0" w:type="dxa"/>
          <w:left w:w="108" w:type="dxa"/>
          <w:bottom w:w="0" w:type="dxa"/>
          <w:right w:w="108" w:type="dxa"/>
        </w:tblCellMar>
      </w:tblPr>
      <w:tblGrid>
        <w:gridCol w:w="1291"/>
        <w:gridCol w:w="1418"/>
        <w:gridCol w:w="1417"/>
        <w:gridCol w:w="1276"/>
        <w:gridCol w:w="1417"/>
        <w:gridCol w:w="1560"/>
        <w:gridCol w:w="1275"/>
      </w:tblGrid>
      <w:tr>
        <w:tblPrEx>
          <w:tblLayout w:type="fixed"/>
          <w:tblCellMar>
            <w:top w:w="0" w:type="dxa"/>
            <w:left w:w="108" w:type="dxa"/>
            <w:bottom w:w="0" w:type="dxa"/>
            <w:right w:w="108" w:type="dxa"/>
          </w:tblCellMar>
        </w:tblPrEx>
        <w:trPr>
          <w:trHeight w:val="435" w:hRule="atLeast"/>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套餐</w:t>
            </w:r>
            <w:r>
              <w:rPr>
                <w:rFonts w:hint="eastAsia" w:ascii="Times New Roman" w:hAnsi="Times New Roman"/>
                <w:b/>
                <w:color w:val="000000"/>
                <w:kern w:val="0"/>
                <w:sz w:val="20"/>
                <w:szCs w:val="20"/>
              </w:rPr>
              <w:t>月基本</w:t>
            </w:r>
            <w:r>
              <w:rPr>
                <w:rFonts w:ascii="Times New Roman" w:hAnsi="Times New Roman"/>
                <w:b/>
                <w:color w:val="000000"/>
                <w:kern w:val="0"/>
                <w:sz w:val="20"/>
                <w:szCs w:val="20"/>
              </w:rPr>
              <w:t>费</w:t>
            </w:r>
            <w:r>
              <w:rPr>
                <w:rFonts w:hint="eastAsia" w:ascii="Times New Roman" w:hAnsi="Times New Roman"/>
                <w:b/>
                <w:color w:val="000000"/>
                <w:kern w:val="0"/>
                <w:sz w:val="20"/>
                <w:szCs w:val="20"/>
              </w:rPr>
              <w:t>（</w:t>
            </w:r>
            <w:r>
              <w:rPr>
                <w:rFonts w:ascii="Times New Roman" w:hAnsi="Times New Roman"/>
                <w:b/>
                <w:color w:val="000000"/>
                <w:kern w:val="0"/>
                <w:sz w:val="20"/>
                <w:szCs w:val="20"/>
              </w:rPr>
              <w:t>元</w:t>
            </w:r>
            <w:r>
              <w:rPr>
                <w:rFonts w:hint="eastAsia" w:ascii="Times New Roman" w:hAnsi="Times New Roman"/>
                <w:b/>
                <w:color w:val="000000"/>
                <w:kern w:val="0"/>
                <w:sz w:val="20"/>
                <w:szCs w:val="20"/>
              </w:rPr>
              <w:t>/月/号）</w:t>
            </w:r>
          </w:p>
        </w:tc>
        <w:tc>
          <w:tcPr>
            <w:tcW w:w="708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套餐内容</w:t>
            </w: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color w:val="000000"/>
                <w:kern w:val="0"/>
                <w:sz w:val="20"/>
                <w:szCs w:val="20"/>
              </w:rPr>
            </w:pPr>
          </w:p>
          <w:p>
            <w:pPr>
              <w:widowControl/>
              <w:jc w:val="center"/>
              <w:rPr>
                <w:rFonts w:ascii="Times New Roman" w:hAnsi="Times New Roman"/>
                <w:b/>
                <w:color w:val="000000"/>
                <w:kern w:val="0"/>
                <w:sz w:val="20"/>
                <w:szCs w:val="20"/>
              </w:rPr>
            </w:pPr>
            <w:r>
              <w:rPr>
                <w:rFonts w:hint="eastAsia" w:ascii="Times New Roman" w:hAnsi="Times New Roman"/>
                <w:b/>
                <w:color w:val="000000"/>
                <w:kern w:val="0"/>
                <w:sz w:val="20"/>
                <w:szCs w:val="20"/>
              </w:rPr>
              <w:t>团购折扣</w:t>
            </w:r>
          </w:p>
          <w:p>
            <w:pPr>
              <w:rPr>
                <w:rFonts w:ascii="Times New Roman" w:hAnsi="Times New Roman"/>
                <w:b/>
                <w:bCs/>
                <w:color w:val="000000"/>
                <w:kern w:val="0"/>
                <w:sz w:val="20"/>
                <w:szCs w:val="20"/>
              </w:rPr>
            </w:pPr>
          </w:p>
        </w:tc>
      </w:tr>
      <w:tr>
        <w:tblPrEx>
          <w:tblLayout w:type="fixed"/>
          <w:tblCellMar>
            <w:top w:w="0" w:type="dxa"/>
            <w:left w:w="108" w:type="dxa"/>
            <w:bottom w:w="0" w:type="dxa"/>
            <w:right w:w="108" w:type="dxa"/>
          </w:tblCellMar>
        </w:tblPrEx>
        <w:trPr>
          <w:trHeight w:val="474" w:hRule="atLeast"/>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国内通话</w:t>
            </w:r>
            <w:r>
              <w:rPr>
                <w:rFonts w:hint="eastAsia" w:ascii="Times New Roman" w:hAnsi="Times New Roman"/>
                <w:b/>
                <w:color w:val="000000"/>
                <w:kern w:val="0"/>
                <w:sz w:val="20"/>
                <w:szCs w:val="20"/>
              </w:rPr>
              <w:t>（</w:t>
            </w:r>
            <w:r>
              <w:rPr>
                <w:rFonts w:ascii="Times New Roman" w:hAnsi="Times New Roman"/>
                <w:b/>
                <w:color w:val="000000"/>
                <w:kern w:val="0"/>
                <w:sz w:val="20"/>
                <w:szCs w:val="20"/>
              </w:rPr>
              <w:t>分钟</w:t>
            </w:r>
            <w:r>
              <w:rPr>
                <w:rFonts w:hint="eastAsia" w:ascii="Times New Roman" w:hAnsi="Times New Roman"/>
                <w:b/>
                <w:color w:val="000000"/>
                <w:kern w:val="0"/>
                <w:sz w:val="20"/>
                <w:szCs w:val="20"/>
              </w:rPr>
              <w:t>/月）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国内上网流量</w:t>
            </w:r>
            <w:r>
              <w:rPr>
                <w:rFonts w:hint="eastAsia" w:ascii="Times New Roman" w:hAnsi="Times New Roman"/>
                <w:b/>
                <w:color w:val="000000"/>
                <w:kern w:val="0"/>
                <w:sz w:val="20"/>
                <w:szCs w:val="20"/>
              </w:rPr>
              <w:t>（月）</w:t>
            </w:r>
          </w:p>
        </w:tc>
        <w:tc>
          <w:tcPr>
            <w:tcW w:w="127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color w:val="000000"/>
                <w:kern w:val="0"/>
                <w:sz w:val="20"/>
                <w:szCs w:val="20"/>
              </w:rPr>
            </w:pPr>
            <w:r>
              <w:rPr>
                <w:rFonts w:hint="eastAsia" w:ascii="Times New Roman" w:hAnsi="Times New Roman"/>
                <w:b/>
                <w:color w:val="000000"/>
                <w:kern w:val="0"/>
                <w:sz w:val="20"/>
                <w:szCs w:val="20"/>
              </w:rPr>
              <w:t>国内</w:t>
            </w:r>
            <w:r>
              <w:rPr>
                <w:rFonts w:ascii="Times New Roman" w:hAnsi="Times New Roman"/>
                <w:b/>
                <w:color w:val="000000"/>
                <w:kern w:val="0"/>
                <w:sz w:val="20"/>
                <w:szCs w:val="20"/>
              </w:rPr>
              <w:t>短</w:t>
            </w:r>
            <w:r>
              <w:rPr>
                <w:rFonts w:hint="eastAsia" w:ascii="Times New Roman" w:hAnsi="Times New Roman"/>
                <w:b/>
                <w:color w:val="000000"/>
                <w:kern w:val="0"/>
                <w:sz w:val="20"/>
                <w:szCs w:val="20"/>
              </w:rPr>
              <w:t>/彩信</w:t>
            </w:r>
          </w:p>
          <w:p>
            <w:pPr>
              <w:widowControl/>
              <w:jc w:val="center"/>
              <w:rPr>
                <w:rFonts w:ascii="Times New Roman" w:hAnsi="Times New Roman"/>
                <w:b/>
                <w:kern w:val="0"/>
                <w:sz w:val="20"/>
                <w:szCs w:val="20"/>
              </w:rPr>
            </w:pPr>
            <w:r>
              <w:rPr>
                <w:rFonts w:hint="eastAsia" w:ascii="Times New Roman" w:hAnsi="Times New Roman"/>
                <w:b/>
                <w:color w:val="000000"/>
                <w:kern w:val="0"/>
                <w:sz w:val="20"/>
                <w:szCs w:val="20"/>
              </w:rPr>
              <w:t>（</w:t>
            </w:r>
            <w:r>
              <w:rPr>
                <w:rFonts w:ascii="Times New Roman" w:hAnsi="Times New Roman"/>
                <w:b/>
                <w:color w:val="000000"/>
                <w:kern w:val="0"/>
                <w:sz w:val="20"/>
                <w:szCs w:val="20"/>
              </w:rPr>
              <w:t>条</w:t>
            </w:r>
            <w:r>
              <w:rPr>
                <w:rFonts w:hint="eastAsia" w:ascii="Times New Roman" w:hAnsi="Times New Roman"/>
                <w:b/>
                <w:color w:val="000000"/>
                <w:kern w:val="0"/>
                <w:sz w:val="20"/>
                <w:szCs w:val="20"/>
              </w:rPr>
              <w:t>/月）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增值优惠</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color w:val="000000"/>
                <w:kern w:val="0"/>
                <w:sz w:val="20"/>
                <w:szCs w:val="20"/>
              </w:rPr>
            </w:pPr>
            <w:r>
              <w:rPr>
                <w:rFonts w:ascii="Times New Roman" w:hAnsi="Times New Roman"/>
                <w:b/>
                <w:color w:val="000000"/>
                <w:kern w:val="0"/>
                <w:sz w:val="20"/>
                <w:szCs w:val="20"/>
              </w:rPr>
              <w:t>超出资费</w:t>
            </w:r>
          </w:p>
        </w:tc>
        <w:tc>
          <w:tcPr>
            <w:tcW w:w="1275" w:type="dxa"/>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p>
        </w:tc>
      </w:tr>
      <w:tr>
        <w:tblPrEx>
          <w:tblLayout w:type="fixed"/>
          <w:tblCellMar>
            <w:top w:w="0" w:type="dxa"/>
            <w:left w:w="108" w:type="dxa"/>
            <w:bottom w:w="0" w:type="dxa"/>
            <w:right w:w="108" w:type="dxa"/>
          </w:tblCellMar>
        </w:tblPrEx>
        <w:trPr>
          <w:trHeight w:val="5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12GB</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赠送来电显示</w:t>
            </w:r>
            <w:r>
              <w:rPr>
                <w:rFonts w:hint="eastAsia" w:ascii="宋体" w:hAnsi="宋体" w:cs="宋体"/>
                <w:color w:val="000000"/>
                <w:kern w:val="0"/>
                <w:sz w:val="20"/>
                <w:szCs w:val="20"/>
              </w:rPr>
              <w:t>；</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全国接听免费</w:t>
            </w:r>
            <w:r>
              <w:rPr>
                <w:rFonts w:hint="eastAsia" w:ascii="宋体" w:hAnsi="宋体" w:cs="宋体"/>
                <w:color w:val="000000"/>
                <w:kern w:val="0"/>
                <w:sz w:val="20"/>
                <w:szCs w:val="20"/>
              </w:rPr>
              <w:t>；</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189</w:t>
            </w:r>
            <w:r>
              <w:rPr>
                <w:rFonts w:hint="eastAsia" w:ascii="宋体" w:hAnsi="宋体" w:cs="宋体"/>
                <w:color w:val="000000"/>
                <w:kern w:val="0"/>
                <w:sz w:val="20"/>
                <w:szCs w:val="20"/>
              </w:rPr>
              <w:t>邮箱；</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4、本地群内通话3000分钟</w:t>
            </w:r>
          </w:p>
        </w:tc>
        <w:tc>
          <w:tcPr>
            <w:tcW w:w="156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color w:val="000000"/>
                <w:kern w:val="0"/>
                <w:sz w:val="20"/>
                <w:szCs w:val="20"/>
              </w:rPr>
            </w:pPr>
            <w:r>
              <w:rPr>
                <w:rFonts w:hint="eastAsia" w:ascii="Times New Roman" w:hAnsi="Times New Roman"/>
                <w:color w:val="000000"/>
                <w:kern w:val="0"/>
                <w:sz w:val="20"/>
                <w:szCs w:val="20"/>
              </w:rPr>
              <w:t>1、</w:t>
            </w:r>
            <w:r>
              <w:rPr>
                <w:rFonts w:ascii="Times New Roman" w:hAnsi="Times New Roman"/>
                <w:color w:val="000000"/>
                <w:kern w:val="0"/>
                <w:sz w:val="20"/>
                <w:szCs w:val="20"/>
              </w:rPr>
              <w:t>国内通话：0.15元/分钟</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2、国内上网流量按4G自动升档资费计收（见备注）</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3、短/彩信超出</w:t>
            </w:r>
            <w:r>
              <w:rPr>
                <w:rFonts w:ascii="Times New Roman" w:hAnsi="Times New Roman"/>
                <w:color w:val="000000"/>
                <w:kern w:val="0"/>
                <w:sz w:val="20"/>
                <w:szCs w:val="20"/>
              </w:rPr>
              <w:t>后按</w:t>
            </w:r>
            <w:r>
              <w:rPr>
                <w:rFonts w:hint="eastAsia" w:ascii="Times New Roman" w:hAnsi="Times New Roman"/>
                <w:color w:val="000000"/>
                <w:kern w:val="0"/>
                <w:sz w:val="20"/>
                <w:szCs w:val="20"/>
              </w:rPr>
              <w:t>0.1元/条</w:t>
            </w:r>
            <w:r>
              <w:rPr>
                <w:rFonts w:ascii="Times New Roman" w:hAnsi="Times New Roman"/>
                <w:color w:val="000000"/>
                <w:kern w:val="0"/>
                <w:sz w:val="20"/>
                <w:szCs w:val="20"/>
              </w:rPr>
              <w:t>计收</w:t>
            </w:r>
          </w:p>
          <w:p>
            <w:pPr>
              <w:widowControl/>
              <w:jc w:val="center"/>
              <w:rPr>
                <w:rFonts w:ascii="Times New Roman" w:hAnsi="Times New Roman"/>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hint="eastAsia" w:ascii="宋体" w:hAnsi="宋体" w:cs="宋体"/>
                <w:color w:val="000000"/>
                <w:kern w:val="0"/>
                <w:sz w:val="20"/>
                <w:szCs w:val="20"/>
              </w:rPr>
              <w:t>7折</w:t>
            </w:r>
          </w:p>
        </w:tc>
      </w:tr>
      <w:tr>
        <w:tblPrEx>
          <w:tblLayout w:type="fixed"/>
          <w:tblCellMar>
            <w:top w:w="0" w:type="dxa"/>
            <w:left w:w="108" w:type="dxa"/>
            <w:bottom w:w="0" w:type="dxa"/>
            <w:right w:w="108" w:type="dxa"/>
          </w:tblCellMar>
        </w:tblPrEx>
        <w:trPr>
          <w:trHeight w:val="5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20G</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6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7折</w:t>
            </w:r>
          </w:p>
        </w:tc>
      </w:tr>
      <w:tr>
        <w:tblPrEx>
          <w:tblLayout w:type="fixed"/>
          <w:tblCellMar>
            <w:top w:w="0" w:type="dxa"/>
            <w:left w:w="108" w:type="dxa"/>
            <w:bottom w:w="0" w:type="dxa"/>
            <w:right w:w="108" w:type="dxa"/>
          </w:tblCellMar>
        </w:tblPrEx>
        <w:trPr>
          <w:trHeight w:val="1365"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Times New Roman" w:hAnsi="Times New Roman"/>
                <w:color w:val="000000"/>
                <w:kern w:val="0"/>
                <w:sz w:val="20"/>
                <w:szCs w:val="20"/>
              </w:rPr>
            </w:pPr>
            <w:r>
              <w:rPr>
                <w:rFonts w:hint="eastAsia" w:ascii="Times New Roman" w:hAnsi="Times New Roman"/>
                <w:color w:val="000000"/>
                <w:kern w:val="0"/>
                <w:sz w:val="20"/>
                <w:szCs w:val="20"/>
              </w:rPr>
              <w:t>备注</w:t>
            </w:r>
          </w:p>
        </w:tc>
        <w:tc>
          <w:tcPr>
            <w:tcW w:w="8363" w:type="dxa"/>
            <w:gridSpan w:val="6"/>
            <w:tcBorders>
              <w:top w:val="single" w:color="auto" w:sz="4" w:space="0"/>
              <w:left w:val="nil"/>
              <w:bottom w:val="single" w:color="auto" w:sz="4" w:space="0"/>
              <w:right w:val="single" w:color="auto" w:sz="4" w:space="0"/>
            </w:tcBorders>
          </w:tcPr>
          <w:p>
            <w:pPr>
              <w:autoSpaceDE w:val="0"/>
              <w:autoSpaceDN w:val="0"/>
              <w:adjustRightInd w:val="0"/>
              <w:spacing w:line="276" w:lineRule="auto"/>
              <w:jc w:val="left"/>
              <w:rPr>
                <w:rFonts w:ascii="Times New Roman" w:hAnsi="Times New Roman"/>
                <w:b/>
                <w:color w:val="000000"/>
                <w:kern w:val="0"/>
                <w:sz w:val="20"/>
                <w:szCs w:val="20"/>
              </w:rPr>
            </w:pPr>
            <w:r>
              <w:rPr>
                <w:rFonts w:ascii="Times New Roman" w:hAnsi="Times New Roman"/>
                <w:b/>
                <w:color w:val="000000"/>
                <w:kern w:val="0"/>
                <w:sz w:val="20"/>
                <w:szCs w:val="20"/>
              </w:rPr>
              <w:t>1</w:t>
            </w:r>
            <w:r>
              <w:rPr>
                <w:rFonts w:hint="eastAsia" w:ascii="Times New Roman" w:hAnsi="Times New Roman"/>
                <w:b/>
                <w:color w:val="000000"/>
                <w:kern w:val="0"/>
                <w:sz w:val="20"/>
                <w:szCs w:val="20"/>
              </w:rPr>
              <w:t>、国内上网超出后不足</w:t>
            </w:r>
            <w:r>
              <w:rPr>
                <w:rFonts w:ascii="Times New Roman" w:hAnsi="Times New Roman"/>
                <w:b/>
                <w:color w:val="000000"/>
                <w:kern w:val="0"/>
                <w:sz w:val="20"/>
                <w:szCs w:val="20"/>
              </w:rPr>
              <w:t>100MB</w:t>
            </w:r>
            <w:r>
              <w:rPr>
                <w:rFonts w:hint="eastAsia" w:ascii="Times New Roman" w:hAnsi="Times New Roman"/>
                <w:b/>
                <w:color w:val="000000"/>
                <w:kern w:val="0"/>
                <w:sz w:val="20"/>
                <w:szCs w:val="20"/>
              </w:rPr>
              <w:t>的，按</w:t>
            </w:r>
            <w:r>
              <w:rPr>
                <w:rFonts w:ascii="Times New Roman" w:hAnsi="Times New Roman"/>
                <w:b/>
                <w:color w:val="000000"/>
                <w:kern w:val="0"/>
                <w:sz w:val="20"/>
                <w:szCs w:val="20"/>
              </w:rPr>
              <w:t>0.0003</w:t>
            </w:r>
            <w:r>
              <w:rPr>
                <w:rFonts w:hint="eastAsia" w:ascii="Times New Roman" w:hAnsi="Times New Roman"/>
                <w:b/>
                <w:color w:val="000000"/>
                <w:kern w:val="0"/>
                <w:sz w:val="20"/>
                <w:szCs w:val="20"/>
              </w:rPr>
              <w:t>元</w:t>
            </w:r>
            <w:r>
              <w:rPr>
                <w:rFonts w:ascii="Times New Roman" w:hAnsi="Times New Roman"/>
                <w:b/>
                <w:color w:val="000000"/>
                <w:kern w:val="0"/>
                <w:sz w:val="20"/>
                <w:szCs w:val="20"/>
              </w:rPr>
              <w:t>/KB</w:t>
            </w:r>
            <w:r>
              <w:rPr>
                <w:rFonts w:hint="eastAsia" w:ascii="Times New Roman" w:hAnsi="Times New Roman"/>
                <w:b/>
                <w:color w:val="000000"/>
                <w:kern w:val="0"/>
                <w:sz w:val="20"/>
                <w:szCs w:val="20"/>
              </w:rPr>
              <w:t>收费，达到30元后，</w:t>
            </w:r>
            <w:r>
              <w:rPr>
                <w:rFonts w:ascii="Times New Roman" w:hAnsi="Times New Roman"/>
                <w:b/>
                <w:color w:val="000000"/>
                <w:kern w:val="0"/>
                <w:sz w:val="20"/>
                <w:szCs w:val="20"/>
              </w:rPr>
              <w:t>100MB-500MB</w:t>
            </w:r>
            <w:r>
              <w:rPr>
                <w:rFonts w:hint="eastAsia" w:ascii="Times New Roman" w:hAnsi="Times New Roman"/>
                <w:b/>
                <w:color w:val="000000"/>
                <w:kern w:val="0"/>
                <w:sz w:val="20"/>
                <w:szCs w:val="20"/>
              </w:rPr>
              <w:t>免费使用；超过</w:t>
            </w:r>
            <w:r>
              <w:rPr>
                <w:rFonts w:ascii="Times New Roman" w:hAnsi="Times New Roman"/>
                <w:b/>
                <w:color w:val="000000"/>
                <w:kern w:val="0"/>
                <w:sz w:val="20"/>
                <w:szCs w:val="20"/>
              </w:rPr>
              <w:t>500MB</w:t>
            </w:r>
            <w:r>
              <w:rPr>
                <w:rFonts w:hint="eastAsia" w:ascii="Times New Roman" w:hAnsi="Times New Roman"/>
                <w:b/>
                <w:color w:val="000000"/>
                <w:kern w:val="0"/>
                <w:sz w:val="20"/>
                <w:szCs w:val="20"/>
              </w:rPr>
              <w:t>的，仍按上述原则（即每</w:t>
            </w:r>
            <w:r>
              <w:rPr>
                <w:rFonts w:ascii="Times New Roman" w:hAnsi="Times New Roman"/>
                <w:b/>
                <w:color w:val="000000"/>
                <w:kern w:val="0"/>
                <w:sz w:val="20"/>
                <w:szCs w:val="20"/>
              </w:rPr>
              <w:t>500MB</w:t>
            </w:r>
            <w:r>
              <w:rPr>
                <w:rFonts w:hint="eastAsia" w:ascii="Times New Roman" w:hAnsi="Times New Roman"/>
                <w:b/>
                <w:color w:val="000000"/>
                <w:kern w:val="0"/>
                <w:sz w:val="20"/>
                <w:szCs w:val="20"/>
              </w:rPr>
              <w:t>收费</w:t>
            </w:r>
            <w:r>
              <w:rPr>
                <w:rFonts w:ascii="Times New Roman" w:hAnsi="Times New Roman"/>
                <w:b/>
                <w:color w:val="000000"/>
                <w:kern w:val="0"/>
                <w:sz w:val="20"/>
                <w:szCs w:val="20"/>
              </w:rPr>
              <w:t>30</w:t>
            </w:r>
            <w:r>
              <w:rPr>
                <w:rFonts w:hint="eastAsia" w:ascii="Times New Roman" w:hAnsi="Times New Roman"/>
                <w:b/>
                <w:color w:val="000000"/>
                <w:kern w:val="0"/>
                <w:sz w:val="20"/>
                <w:szCs w:val="20"/>
              </w:rPr>
              <w:t>元）收费，以此类推。</w:t>
            </w:r>
          </w:p>
          <w:p>
            <w:pPr>
              <w:autoSpaceDE w:val="0"/>
              <w:autoSpaceDN w:val="0"/>
              <w:adjustRightInd w:val="0"/>
              <w:spacing w:line="276" w:lineRule="auto"/>
              <w:jc w:val="left"/>
              <w:rPr>
                <w:rFonts w:ascii="Times New Roman" w:hAnsi="Times New Roman"/>
                <w:color w:val="000000"/>
                <w:kern w:val="0"/>
                <w:sz w:val="20"/>
                <w:szCs w:val="20"/>
              </w:rPr>
            </w:pPr>
            <w:r>
              <w:rPr>
                <w:rFonts w:hint="eastAsia" w:ascii="Times New Roman" w:hAnsi="Times New Roman"/>
                <w:color w:val="000000"/>
                <w:kern w:val="0"/>
                <w:sz w:val="20"/>
                <w:szCs w:val="20"/>
              </w:rPr>
              <w:t>2、语音资费均不含拨打各类接入号及声讯电话后产生的特定的通话费或信息费（包括但不限于</w:t>
            </w:r>
            <w:r>
              <w:rPr>
                <w:rFonts w:ascii="Times New Roman" w:hAnsi="Times New Roman"/>
                <w:color w:val="000000"/>
                <w:kern w:val="0"/>
                <w:sz w:val="20"/>
                <w:szCs w:val="20"/>
              </w:rPr>
              <w:t>17909</w:t>
            </w:r>
            <w:r>
              <w:rPr>
                <w:rFonts w:hint="eastAsia" w:ascii="Times New Roman" w:hAnsi="Times New Roman"/>
                <w:color w:val="000000"/>
                <w:kern w:val="0"/>
                <w:sz w:val="20"/>
                <w:szCs w:val="20"/>
              </w:rPr>
              <w:t>、</w:t>
            </w:r>
            <w:r>
              <w:rPr>
                <w:rFonts w:ascii="Times New Roman" w:hAnsi="Times New Roman"/>
                <w:color w:val="000000"/>
                <w:kern w:val="0"/>
                <w:sz w:val="20"/>
                <w:szCs w:val="20"/>
              </w:rPr>
              <w:t>11808</w:t>
            </w:r>
            <w:r>
              <w:rPr>
                <w:rFonts w:hint="eastAsia" w:ascii="Times New Roman" w:hAnsi="Times New Roman"/>
                <w:color w:val="000000"/>
                <w:kern w:val="0"/>
                <w:sz w:val="20"/>
                <w:szCs w:val="20"/>
              </w:rPr>
              <w:t>、</w:t>
            </w:r>
            <w:r>
              <w:rPr>
                <w:rFonts w:ascii="Times New Roman" w:hAnsi="Times New Roman"/>
                <w:color w:val="000000"/>
                <w:kern w:val="0"/>
                <w:sz w:val="20"/>
                <w:szCs w:val="20"/>
              </w:rPr>
              <w:t>800</w:t>
            </w:r>
            <w:r>
              <w:rPr>
                <w:rFonts w:hint="eastAsia" w:ascii="Times New Roman" w:hAnsi="Times New Roman"/>
                <w:color w:val="000000"/>
                <w:kern w:val="0"/>
                <w:sz w:val="20"/>
                <w:szCs w:val="20"/>
              </w:rPr>
              <w:t>等接入号及各类声讯信息费用）。语音计费不足</w:t>
            </w:r>
            <w:r>
              <w:rPr>
                <w:rFonts w:ascii="Times New Roman" w:hAnsi="Times New Roman"/>
                <w:color w:val="000000"/>
                <w:kern w:val="0"/>
                <w:sz w:val="20"/>
                <w:szCs w:val="20"/>
              </w:rPr>
              <w:t>1</w:t>
            </w:r>
            <w:r>
              <w:rPr>
                <w:rFonts w:hint="eastAsia" w:ascii="Times New Roman" w:hAnsi="Times New Roman"/>
                <w:color w:val="000000"/>
                <w:kern w:val="0"/>
                <w:sz w:val="20"/>
                <w:szCs w:val="20"/>
              </w:rPr>
              <w:t>分钟按</w:t>
            </w:r>
            <w:r>
              <w:rPr>
                <w:rFonts w:ascii="Times New Roman" w:hAnsi="Times New Roman"/>
                <w:color w:val="000000"/>
                <w:kern w:val="0"/>
                <w:sz w:val="20"/>
                <w:szCs w:val="20"/>
              </w:rPr>
              <w:t>1</w:t>
            </w:r>
            <w:r>
              <w:rPr>
                <w:rFonts w:hint="eastAsia" w:ascii="Times New Roman" w:hAnsi="Times New Roman"/>
                <w:color w:val="000000"/>
                <w:kern w:val="0"/>
                <w:sz w:val="20"/>
                <w:szCs w:val="20"/>
              </w:rPr>
              <w:t>分钟计收。</w:t>
            </w:r>
          </w:p>
          <w:p>
            <w:pPr>
              <w:autoSpaceDE w:val="0"/>
              <w:autoSpaceDN w:val="0"/>
              <w:adjustRightInd w:val="0"/>
              <w:spacing w:line="276" w:lineRule="auto"/>
              <w:jc w:val="left"/>
              <w:rPr>
                <w:rFonts w:ascii="Times New Roman" w:hAnsi="Times New Roman"/>
                <w:color w:val="000000"/>
                <w:kern w:val="0"/>
                <w:sz w:val="20"/>
                <w:szCs w:val="20"/>
              </w:rPr>
            </w:pPr>
            <w:r>
              <w:rPr>
                <w:rFonts w:hint="eastAsia" w:ascii="Times New Roman" w:hAnsi="Times New Roman"/>
                <w:color w:val="000000"/>
                <w:kern w:val="0"/>
                <w:sz w:val="20"/>
                <w:szCs w:val="20"/>
              </w:rPr>
              <w:t>3、本活动中的免费通话时长及手机上网流量超出后全部按超出后资费计收；</w:t>
            </w:r>
          </w:p>
          <w:p>
            <w:pPr>
              <w:pStyle w:val="11"/>
              <w:numPr>
                <w:ilvl w:val="0"/>
                <w:numId w:val="3"/>
              </w:numPr>
              <w:autoSpaceDE w:val="0"/>
              <w:autoSpaceDN w:val="0"/>
              <w:adjustRightInd w:val="0"/>
              <w:spacing w:line="276" w:lineRule="auto"/>
              <w:ind w:firstLineChars="0"/>
              <w:jc w:val="left"/>
              <w:rPr>
                <w:rFonts w:ascii="Times New Roman" w:hAnsi="Times New Roman"/>
                <w:color w:val="000000"/>
                <w:kern w:val="0"/>
                <w:sz w:val="20"/>
                <w:szCs w:val="20"/>
              </w:rPr>
            </w:pPr>
            <w:r>
              <w:rPr>
                <w:rFonts w:hint="eastAsia" w:ascii="Times New Roman" w:hAnsi="Times New Roman"/>
                <w:color w:val="000000"/>
                <w:kern w:val="0"/>
                <w:sz w:val="20"/>
                <w:szCs w:val="20"/>
              </w:rPr>
              <w:t>本规则中所有“全国接听免费”、“国内通话”、“国内上网”、“国内短信”均不包括台港澳。</w:t>
            </w:r>
          </w:p>
          <w:p>
            <w:pPr>
              <w:autoSpaceDE w:val="0"/>
              <w:autoSpaceDN w:val="0"/>
              <w:adjustRightInd w:val="0"/>
              <w:spacing w:line="276" w:lineRule="auto"/>
              <w:jc w:val="left"/>
              <w:rPr>
                <w:rFonts w:ascii="Times New Roman" w:hAnsi="Times New Roman"/>
                <w:b/>
                <w:color w:val="000000"/>
                <w:kern w:val="0"/>
                <w:sz w:val="20"/>
                <w:szCs w:val="20"/>
              </w:rPr>
            </w:pPr>
            <w:r>
              <w:rPr>
                <w:rFonts w:hint="eastAsia" w:ascii="微软雅黑" w:hAnsi="微软雅黑" w:eastAsia="微软雅黑"/>
                <w:b/>
                <w:color w:val="000000"/>
                <w:kern w:val="24"/>
                <w:sz w:val="20"/>
                <w:szCs w:val="20"/>
              </w:rPr>
              <w:t>5、套餐内包含的国内</w:t>
            </w:r>
            <w:r>
              <w:rPr>
                <w:rFonts w:ascii="微软雅黑" w:hAnsi="微软雅黑" w:eastAsia="微软雅黑"/>
                <w:b/>
                <w:color w:val="000000"/>
                <w:kern w:val="24"/>
                <w:sz w:val="20"/>
                <w:szCs w:val="20"/>
              </w:rPr>
              <w:t>流量限当月使用。</w:t>
            </w:r>
          </w:p>
        </w:tc>
      </w:tr>
    </w:tbl>
    <w:p>
      <w:pPr>
        <w:pStyle w:val="11"/>
        <w:widowControl/>
        <w:numPr>
          <w:ilvl w:val="5"/>
          <w:numId w:val="1"/>
        </w:numPr>
        <w:shd w:val="clear" w:color="auto" w:fill="FFFFFF"/>
        <w:spacing w:line="240" w:lineRule="atLeast"/>
        <w:ind w:firstLineChars="0"/>
        <w:rPr>
          <w:rFonts w:cs="宋体" w:asciiTheme="minorEastAsia" w:hAnsiTheme="minorEastAsia"/>
          <w:b/>
          <w:bCs/>
          <w:spacing w:val="23"/>
          <w:kern w:val="0"/>
          <w:szCs w:val="21"/>
        </w:rPr>
      </w:pPr>
      <w:r>
        <w:rPr>
          <w:rFonts w:hint="eastAsia" w:cs="宋体" w:asciiTheme="minorEastAsia" w:hAnsiTheme="minorEastAsia"/>
          <w:spacing w:val="23"/>
          <w:kern w:val="0"/>
          <w:szCs w:val="21"/>
        </w:rPr>
        <w:t>一个主卡套餐可配套开通最多一张副卡。</w:t>
      </w:r>
      <w:r>
        <w:rPr>
          <w:rFonts w:hint="eastAsia" w:cs="宋体" w:asciiTheme="minorEastAsia" w:hAnsiTheme="minorEastAsia"/>
          <w:b/>
          <w:spacing w:val="23"/>
          <w:kern w:val="0"/>
          <w:szCs w:val="21"/>
          <w:highlight w:val="yellow"/>
          <w:shd w:val="clear" w:color="auto" w:fill="E5B9B7"/>
        </w:rPr>
        <w:t>教职员工原电信套餐协议到期后可保留原号码参与此次活动作为副卡使用。</w:t>
      </w:r>
      <w:r>
        <w:rPr>
          <w:rFonts w:hint="eastAsia" w:cs="宋体" w:asciiTheme="minorEastAsia" w:hAnsiTheme="minorEastAsia"/>
          <w:b/>
          <w:bCs/>
          <w:spacing w:val="23"/>
          <w:kern w:val="0"/>
          <w:szCs w:val="21"/>
        </w:rPr>
        <w:t>若参加本活动套餐的主卡退出营销活动，则副卡套餐也随之退出，均恢复产品的标准资费。</w:t>
      </w:r>
    </w:p>
    <w:p>
      <w:pPr>
        <w:pStyle w:val="11"/>
        <w:widowControl/>
        <w:numPr>
          <w:ilvl w:val="5"/>
          <w:numId w:val="1"/>
        </w:numPr>
        <w:shd w:val="clear" w:color="auto" w:fill="FFFFFF"/>
        <w:spacing w:line="240" w:lineRule="atLeast"/>
        <w:ind w:firstLineChars="0"/>
        <w:rPr>
          <w:rFonts w:cs="宋体" w:asciiTheme="minorEastAsia" w:hAnsiTheme="minorEastAsia"/>
          <w:bCs/>
          <w:spacing w:val="23"/>
          <w:kern w:val="0"/>
          <w:szCs w:val="21"/>
        </w:rPr>
      </w:pPr>
      <w:r>
        <w:rPr>
          <w:rFonts w:hint="eastAsia" w:cs="宋体" w:asciiTheme="minorEastAsia" w:hAnsiTheme="minorEastAsia"/>
          <w:bCs/>
          <w:spacing w:val="23"/>
          <w:kern w:val="0"/>
          <w:szCs w:val="21"/>
        </w:rPr>
        <w:t>套餐资费标准自业务完工后次月1日生效。业务完工至套餐资费标准生效期间：按照用户入网当日至月末的天数按天计算一次性扣除套餐月基本费：首月月基本费=套餐月基本费/当月天数*自入网之日起至当月月末天数。可享受套餐内优惠量（所包含的国内通话时长、上网流量、短信条数）按照“用户入网当日至月末的天数/当月天数”的比例折算四舍五入（上网流量精确到KB，国内通话时长精确到分钟，短信精确到条），超出后按套餐内规定的超出后资费计收。手机国内接听免费。套餐内189邮箱、来电显示功能费和一次性费用免收。</w:t>
      </w:r>
    </w:p>
    <w:p>
      <w:pPr>
        <w:pStyle w:val="11"/>
        <w:widowControl/>
        <w:numPr>
          <w:ilvl w:val="5"/>
          <w:numId w:val="1"/>
        </w:numPr>
        <w:shd w:val="clear" w:color="auto" w:fill="FFFFFF"/>
        <w:spacing w:line="240" w:lineRule="atLeast"/>
        <w:ind w:firstLineChars="0"/>
        <w:rPr>
          <w:rFonts w:cs="宋体" w:asciiTheme="minorEastAsia" w:hAnsiTheme="minorEastAsia"/>
          <w:bCs/>
          <w:spacing w:val="23"/>
          <w:kern w:val="0"/>
          <w:szCs w:val="21"/>
        </w:rPr>
      </w:pPr>
      <w:r>
        <w:rPr>
          <w:rFonts w:hint="eastAsia" w:cs="宋体" w:asciiTheme="minorEastAsia" w:hAnsiTheme="minorEastAsia"/>
          <w:bCs/>
          <w:spacing w:val="23"/>
          <w:kern w:val="0"/>
          <w:szCs w:val="21"/>
        </w:rPr>
        <w:t>本套餐手机累积上网费用为每月消费600元封顶，包含按套餐外资费收取的4G/3G/2G的国内上网费用，不含套餐的月基本费、短信、彩信、语音、WLAN、其它增值业务的费用以及各种流量包功能费，且在600元封顶范围内，每月最多可用15GB国内流量（不含使用定向流量包的流量），超过流量之后，系统将自动为客户暂停无线上网（4G/3G/2G/WLAN）功能。断网后主卡和各副卡基于上网类的增值业务都将无法使用。无线上网功能在次月初自动恢复。若断网当月要求继续开通无线上网服务，请至营业厅或致电10000号恢复上网功能（可对主卡恢复上网功能），恢复后可继续使用基础套餐及各流量可选包、定向流量包内所含流量，超出后新产生的国内流量按标准资费0.0003元/KB计收（不足1KB部分按1KB计，不足1分钱的按1分钱计），不再享受30元/500MB的资费优惠，新增流量及费用不再受封顶值限制。次月仍然执行封顶断网措施。</w:t>
      </w:r>
    </w:p>
    <w:p>
      <w:pPr>
        <w:pStyle w:val="11"/>
        <w:widowControl/>
        <w:numPr>
          <w:ilvl w:val="5"/>
          <w:numId w:val="1"/>
        </w:numPr>
        <w:shd w:val="clear" w:color="auto" w:fill="FFFFFF"/>
        <w:spacing w:line="240" w:lineRule="atLeast"/>
        <w:ind w:firstLineChars="0"/>
        <w:rPr>
          <w:rFonts w:cs="宋体" w:asciiTheme="minorEastAsia" w:hAnsiTheme="minorEastAsia"/>
          <w:bCs/>
          <w:spacing w:val="23"/>
          <w:kern w:val="0"/>
          <w:szCs w:val="21"/>
        </w:rPr>
      </w:pPr>
      <w:r>
        <w:rPr>
          <w:rFonts w:hint="eastAsia"/>
          <w:bCs/>
          <w:szCs w:val="21"/>
        </w:rPr>
        <w:t>本规则所包含的相关业务及手机上网方式、短信功能，需在支持其业务功能的手机终端上才以实现。</w:t>
      </w:r>
    </w:p>
    <w:p>
      <w:pPr>
        <w:pStyle w:val="11"/>
        <w:widowControl/>
        <w:numPr>
          <w:ilvl w:val="5"/>
          <w:numId w:val="1"/>
        </w:numPr>
        <w:shd w:val="clear" w:color="auto" w:fill="FFFFFF"/>
        <w:spacing w:line="240" w:lineRule="atLeast"/>
        <w:ind w:firstLineChars="0"/>
        <w:rPr>
          <w:rFonts w:cs="宋体" w:asciiTheme="minorEastAsia" w:hAnsiTheme="minorEastAsia"/>
          <w:bCs/>
          <w:spacing w:val="23"/>
          <w:kern w:val="0"/>
          <w:szCs w:val="21"/>
        </w:rPr>
      </w:pPr>
      <w:r>
        <w:rPr>
          <w:rFonts w:hint="eastAsia" w:cs="宋体" w:asciiTheme="minorEastAsia" w:hAnsiTheme="minorEastAsia"/>
          <w:bCs/>
          <w:spacing w:val="23"/>
          <w:kern w:val="0"/>
          <w:szCs w:val="21"/>
        </w:rPr>
        <w:t>本规则未注明的业务资费，按现行有效的标准资费计收。</w:t>
      </w:r>
    </w:p>
    <w:p>
      <w:pPr>
        <w:pStyle w:val="11"/>
        <w:widowControl/>
        <w:numPr>
          <w:ilvl w:val="5"/>
          <w:numId w:val="1"/>
        </w:numPr>
        <w:shd w:val="clear" w:color="auto" w:fill="FFFFFF"/>
        <w:spacing w:line="240" w:lineRule="atLeast"/>
        <w:ind w:firstLineChars="0"/>
        <w:rPr>
          <w:rFonts w:cs="宋体" w:asciiTheme="minorEastAsia" w:hAnsiTheme="minorEastAsia"/>
          <w:b w:val="0"/>
          <w:bCs w:val="0"/>
          <w:spacing w:val="23"/>
          <w:kern w:val="0"/>
          <w:szCs w:val="21"/>
        </w:rPr>
      </w:pPr>
      <w:r>
        <w:rPr>
          <w:rFonts w:hint="eastAsia" w:cs="宋体" w:asciiTheme="minorEastAsia" w:hAnsiTheme="minorEastAsia"/>
          <w:b/>
          <w:bCs/>
          <w:spacing w:val="23"/>
          <w:kern w:val="0"/>
          <w:szCs w:val="21"/>
        </w:rPr>
        <w:t>本活动套餐资费</w:t>
      </w:r>
      <w:r>
        <w:rPr>
          <w:rFonts w:hint="eastAsia" w:cs="宋体" w:asciiTheme="minorEastAsia" w:hAnsiTheme="minorEastAsia"/>
          <w:b/>
          <w:bCs/>
          <w:color w:val="FF0000"/>
          <w:spacing w:val="23"/>
          <w:kern w:val="0"/>
          <w:szCs w:val="21"/>
        </w:rPr>
        <w:t>协议期</w:t>
      </w:r>
      <w:r>
        <w:rPr>
          <w:rFonts w:hint="eastAsia" w:cs="宋体" w:asciiTheme="minorEastAsia" w:hAnsiTheme="minorEastAsia"/>
          <w:b/>
          <w:bCs/>
          <w:color w:val="FF0000"/>
          <w:spacing w:val="23"/>
          <w:kern w:val="0"/>
          <w:szCs w:val="21"/>
          <w:lang w:val="en-US" w:eastAsia="zh-CN"/>
        </w:rPr>
        <w:t>2</w:t>
      </w:r>
      <w:r>
        <w:rPr>
          <w:rFonts w:hint="eastAsia" w:cs="宋体" w:asciiTheme="minorEastAsia" w:hAnsiTheme="minorEastAsia"/>
          <w:b/>
          <w:bCs/>
          <w:color w:val="FF0000"/>
          <w:spacing w:val="23"/>
          <w:kern w:val="0"/>
          <w:szCs w:val="21"/>
        </w:rPr>
        <w:t>年</w:t>
      </w:r>
      <w:r>
        <w:rPr>
          <w:rFonts w:hint="eastAsia" w:cs="宋体" w:asciiTheme="minorEastAsia" w:hAnsiTheme="minorEastAsia"/>
          <w:b/>
          <w:bCs/>
          <w:color w:val="auto"/>
          <w:spacing w:val="23"/>
          <w:kern w:val="0"/>
          <w:szCs w:val="21"/>
          <w:lang w:eastAsia="zh-CN"/>
        </w:rPr>
        <w:t>。</w:t>
      </w:r>
    </w:p>
    <w:p>
      <w:pPr>
        <w:rPr>
          <w:b/>
        </w:rPr>
      </w:pPr>
    </w:p>
    <w:p>
      <w:pPr>
        <w:pStyle w:val="11"/>
        <w:numPr>
          <w:ilvl w:val="0"/>
          <w:numId w:val="1"/>
        </w:numPr>
        <w:ind w:firstLineChars="0"/>
        <w:rPr>
          <w:b/>
        </w:rPr>
      </w:pPr>
      <w:r>
        <w:rPr>
          <w:rFonts w:hint="eastAsia"/>
          <w:b/>
        </w:rPr>
        <w:t>办理方式：</w:t>
      </w:r>
    </w:p>
    <w:p>
      <w:pPr>
        <w:widowControl/>
        <w:spacing w:line="360" w:lineRule="atLeast"/>
        <w:jc w:val="left"/>
        <w:rPr>
          <w:bCs/>
          <w:szCs w:val="21"/>
        </w:rPr>
      </w:pPr>
      <w:r>
        <w:rPr>
          <w:rFonts w:hint="eastAsia"/>
          <w:bCs/>
          <w:szCs w:val="21"/>
        </w:rPr>
        <w:t>1、30元档主卡新增采用线上学校专属二维码，进行扫码办理。</w:t>
      </w:r>
    </w:p>
    <w:p>
      <w:pPr>
        <w:widowControl/>
        <w:spacing w:line="360" w:lineRule="atLeast"/>
        <w:jc w:val="left"/>
        <w:rPr>
          <w:bCs/>
          <w:szCs w:val="21"/>
        </w:rPr>
      </w:pPr>
      <w:r>
        <w:rPr>
          <w:rFonts w:hint="eastAsia"/>
          <w:bCs/>
          <w:szCs w:val="21"/>
        </w:rPr>
        <w:t>2、原套餐已到期的老号码作为副卡转入“翼企享福”拟采用线下受理的方式。</w:t>
      </w:r>
    </w:p>
    <w:p>
      <w:pPr>
        <w:widowControl/>
        <w:spacing w:line="360" w:lineRule="atLeast"/>
        <w:jc w:val="left"/>
        <w:textAlignment w:val="baseline"/>
        <w:rPr>
          <w:bCs/>
          <w:szCs w:val="21"/>
        </w:rPr>
      </w:pPr>
      <w:r>
        <w:rPr>
          <w:rFonts w:hint="eastAsia"/>
          <w:bCs/>
          <w:szCs w:val="21"/>
        </w:rPr>
        <w:t>3、办理人员需带本人身份证、工作证（需要有清晰学校logo和姓名）、手机。</w:t>
      </w:r>
    </w:p>
    <w:p>
      <w:pPr>
        <w:rPr>
          <w:b/>
        </w:rPr>
      </w:pPr>
    </w:p>
    <w:p>
      <w:pPr>
        <w:rPr>
          <w:b/>
        </w:rPr>
      </w:pPr>
    </w:p>
    <w:p>
      <w:pPr>
        <w:rPr>
          <w:b/>
        </w:rPr>
      </w:pPr>
    </w:p>
    <w:p>
      <w:pPr>
        <w:rPr>
          <w:b/>
        </w:rPr>
      </w:pPr>
    </w:p>
    <w:p>
      <w:pPr>
        <w:pStyle w:val="11"/>
        <w:numPr>
          <w:ilvl w:val="0"/>
          <w:numId w:val="1"/>
        </w:numPr>
        <w:ind w:firstLineChars="0"/>
        <w:rPr>
          <w:b/>
        </w:rPr>
      </w:pPr>
      <w:r>
        <w:rPr>
          <w:rFonts w:hint="eastAsia"/>
          <w:b/>
        </w:rPr>
        <w:t>与原套餐内容对比：</w:t>
      </w:r>
    </w:p>
    <w:p>
      <w:pPr>
        <w:rPr>
          <w:b/>
        </w:rPr>
      </w:pPr>
    </w:p>
    <w:tbl>
      <w:tblPr>
        <w:tblStyle w:val="7"/>
        <w:tblW w:w="6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19"/>
        <w:gridCol w:w="1134"/>
        <w:gridCol w:w="127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1085" w:type="dxa"/>
            <w:tcBorders>
              <w:top w:val="single" w:color="auto" w:sz="4" w:space="0"/>
              <w:left w:val="single" w:color="auto" w:sz="4" w:space="0"/>
              <w:right w:val="single" w:color="auto" w:sz="4" w:space="0"/>
            </w:tcBorders>
            <w:vAlign w:val="center"/>
          </w:tcPr>
          <w:p>
            <w:pPr>
              <w:spacing w:line="360" w:lineRule="atLeast"/>
              <w:rPr>
                <w:rFonts w:ascii="Calibri" w:hAnsi="Calibri"/>
                <w:b/>
              </w:rPr>
            </w:pPr>
          </w:p>
        </w:tc>
        <w:tc>
          <w:tcPr>
            <w:tcW w:w="1119"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月基本费</w:t>
            </w:r>
          </w:p>
          <w:p>
            <w:pPr>
              <w:spacing w:line="360" w:lineRule="atLeast"/>
              <w:rPr>
                <w:rFonts w:ascii="Calibri" w:hAnsi="Calibri"/>
                <w:b/>
              </w:rPr>
            </w:pPr>
            <w:r>
              <w:rPr>
                <w:rFonts w:hint="eastAsia"/>
                <w:b/>
              </w:rPr>
              <w:t>（元</w:t>
            </w:r>
            <w:r>
              <w:rPr>
                <w:b/>
              </w:rPr>
              <w:t>/</w:t>
            </w:r>
            <w:r>
              <w:rPr>
                <w:rFonts w:hint="eastAsia"/>
                <w:b/>
              </w:rPr>
              <w:t>号）</w:t>
            </w:r>
          </w:p>
        </w:tc>
        <w:tc>
          <w:tcPr>
            <w:tcW w:w="1134"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国内流量</w:t>
            </w:r>
          </w:p>
          <w:p>
            <w:pPr>
              <w:spacing w:line="360" w:lineRule="atLeast"/>
              <w:rPr>
                <w:rFonts w:ascii="Calibri" w:hAnsi="Calibri"/>
                <w:b/>
              </w:rPr>
            </w:pPr>
            <w:r>
              <w:rPr>
                <w:rFonts w:hint="eastAsia"/>
                <w:b/>
              </w:rPr>
              <w:t>（每月）</w:t>
            </w:r>
          </w:p>
        </w:tc>
        <w:tc>
          <w:tcPr>
            <w:tcW w:w="1275"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国内通话（分钟/月）</w:t>
            </w:r>
          </w:p>
        </w:tc>
        <w:tc>
          <w:tcPr>
            <w:tcW w:w="1780" w:type="dxa"/>
            <w:tcBorders>
              <w:top w:val="single" w:color="auto" w:sz="4" w:space="0"/>
              <w:left w:val="single" w:color="auto" w:sz="4" w:space="0"/>
              <w:right w:val="single" w:color="auto" w:sz="4" w:space="0"/>
            </w:tcBorders>
            <w:vAlign w:val="center"/>
          </w:tcPr>
          <w:p>
            <w:pPr>
              <w:spacing w:line="360" w:lineRule="atLeast"/>
              <w:jc w:val="center"/>
              <w:rPr>
                <w:rFonts w:ascii="Calibri" w:hAnsi="Calibri"/>
                <w:b/>
              </w:rPr>
            </w:pPr>
            <w:r>
              <w:rPr>
                <w:rFonts w:ascii="Times New Roman" w:hAnsi="Times New Roman"/>
                <w:b/>
                <w:kern w:val="0"/>
                <w:sz w:val="20"/>
                <w:szCs w:val="20"/>
              </w:rPr>
              <w:t>短信</w:t>
            </w:r>
            <w:r>
              <w:rPr>
                <w:rFonts w:hint="eastAsia" w:ascii="Times New Roman" w:hAnsi="Times New Roman"/>
                <w:b/>
                <w:kern w:val="0"/>
                <w:sz w:val="20"/>
                <w:szCs w:val="20"/>
              </w:rPr>
              <w:t>（</w:t>
            </w:r>
            <w:r>
              <w:rPr>
                <w:rFonts w:ascii="Times New Roman" w:hAnsi="Times New Roman"/>
                <w:b/>
                <w:kern w:val="0"/>
                <w:sz w:val="20"/>
                <w:szCs w:val="20"/>
              </w:rPr>
              <w:t>条</w:t>
            </w:r>
            <w:r>
              <w:rPr>
                <w:rFonts w:hint="eastAsia" w:ascii="Times New Roman" w:hAnsi="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原</w:t>
            </w:r>
          </w:p>
        </w:tc>
        <w:tc>
          <w:tcPr>
            <w:tcW w:w="111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30（8折）=24</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1G</w:t>
            </w:r>
          </w:p>
        </w:tc>
        <w:tc>
          <w:tcPr>
            <w:tcW w:w="1275"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100</w:t>
            </w:r>
          </w:p>
        </w:tc>
        <w:tc>
          <w:tcPr>
            <w:tcW w:w="1780"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现</w:t>
            </w:r>
          </w:p>
        </w:tc>
        <w:tc>
          <w:tcPr>
            <w:tcW w:w="1119"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w:t>
            </w:r>
          </w:p>
        </w:tc>
        <w:tc>
          <w:tcPr>
            <w:tcW w:w="1134"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20GB</w:t>
            </w:r>
          </w:p>
        </w:tc>
        <w:tc>
          <w:tcPr>
            <w:tcW w:w="1275"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300</w:t>
            </w:r>
          </w:p>
        </w:tc>
        <w:tc>
          <w:tcPr>
            <w:tcW w:w="1780" w:type="dxa"/>
            <w:tcBorders>
              <w:top w:val="single" w:color="auto" w:sz="4" w:space="0"/>
              <w:left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0</w:t>
            </w:r>
          </w:p>
        </w:tc>
      </w:tr>
    </w:tbl>
    <w:p>
      <w:pPr>
        <w:pStyle w:val="11"/>
        <w:tabs>
          <w:tab w:val="left" w:pos="480"/>
        </w:tabs>
        <w:ind w:left="480" w:firstLine="0" w:firstLineChars="0"/>
        <w:rPr>
          <w:b/>
        </w:rPr>
      </w:pPr>
    </w:p>
    <w:tbl>
      <w:tblPr>
        <w:tblStyle w:val="7"/>
        <w:tblW w:w="6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19"/>
        <w:gridCol w:w="1134"/>
        <w:gridCol w:w="127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1085" w:type="dxa"/>
            <w:tcBorders>
              <w:top w:val="single" w:color="auto" w:sz="4" w:space="0"/>
              <w:left w:val="single" w:color="auto" w:sz="4" w:space="0"/>
              <w:right w:val="single" w:color="auto" w:sz="4" w:space="0"/>
            </w:tcBorders>
            <w:vAlign w:val="center"/>
          </w:tcPr>
          <w:p>
            <w:pPr>
              <w:spacing w:line="360" w:lineRule="atLeast"/>
              <w:rPr>
                <w:rFonts w:ascii="Calibri" w:hAnsi="Calibri"/>
                <w:b/>
              </w:rPr>
            </w:pPr>
          </w:p>
        </w:tc>
        <w:tc>
          <w:tcPr>
            <w:tcW w:w="1119"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月基本费</w:t>
            </w:r>
          </w:p>
          <w:p>
            <w:pPr>
              <w:spacing w:line="360" w:lineRule="atLeast"/>
              <w:rPr>
                <w:rFonts w:ascii="Calibri" w:hAnsi="Calibri"/>
                <w:b/>
              </w:rPr>
            </w:pPr>
            <w:r>
              <w:rPr>
                <w:rFonts w:hint="eastAsia"/>
                <w:b/>
              </w:rPr>
              <w:t>（元</w:t>
            </w:r>
            <w:r>
              <w:rPr>
                <w:b/>
              </w:rPr>
              <w:t>/</w:t>
            </w:r>
            <w:r>
              <w:rPr>
                <w:rFonts w:hint="eastAsia"/>
                <w:b/>
              </w:rPr>
              <w:t>号）</w:t>
            </w:r>
          </w:p>
        </w:tc>
        <w:tc>
          <w:tcPr>
            <w:tcW w:w="1134" w:type="dxa"/>
            <w:tcBorders>
              <w:top w:val="single" w:color="auto" w:sz="4" w:space="0"/>
              <w:left w:val="single" w:color="auto" w:sz="4" w:space="0"/>
              <w:right w:val="single" w:color="auto" w:sz="4" w:space="0"/>
            </w:tcBorders>
            <w:vAlign w:val="center"/>
          </w:tcPr>
          <w:p>
            <w:pPr>
              <w:spacing w:line="360" w:lineRule="atLeast"/>
              <w:rPr>
                <w:b/>
              </w:rPr>
            </w:pPr>
            <w:r>
              <w:rPr>
                <w:rFonts w:hint="eastAsia"/>
                <w:b/>
              </w:rPr>
              <w:t>国内流量</w:t>
            </w:r>
          </w:p>
          <w:p>
            <w:pPr>
              <w:spacing w:line="360" w:lineRule="atLeast"/>
              <w:rPr>
                <w:rFonts w:ascii="Calibri" w:hAnsi="Calibri"/>
                <w:b/>
              </w:rPr>
            </w:pPr>
            <w:r>
              <w:rPr>
                <w:rFonts w:hint="eastAsia"/>
                <w:b/>
              </w:rPr>
              <w:t>（每月）</w:t>
            </w:r>
          </w:p>
        </w:tc>
        <w:tc>
          <w:tcPr>
            <w:tcW w:w="1275" w:type="dxa"/>
            <w:tcBorders>
              <w:top w:val="single" w:color="auto" w:sz="4" w:space="0"/>
              <w:left w:val="single" w:color="auto" w:sz="4" w:space="0"/>
              <w:right w:val="single" w:color="auto" w:sz="4" w:space="0"/>
            </w:tcBorders>
            <w:vAlign w:val="center"/>
          </w:tcPr>
          <w:p>
            <w:pPr>
              <w:spacing w:line="360" w:lineRule="atLeast"/>
              <w:jc w:val="center"/>
              <w:rPr>
                <w:b/>
              </w:rPr>
            </w:pPr>
            <w:r>
              <w:rPr>
                <w:rFonts w:hint="eastAsia"/>
                <w:b/>
              </w:rPr>
              <w:t>国内通话（分钟/月）</w:t>
            </w:r>
          </w:p>
        </w:tc>
        <w:tc>
          <w:tcPr>
            <w:tcW w:w="1780" w:type="dxa"/>
            <w:tcBorders>
              <w:top w:val="single" w:color="auto" w:sz="4" w:space="0"/>
              <w:left w:val="single" w:color="auto" w:sz="4" w:space="0"/>
              <w:right w:val="single" w:color="auto" w:sz="4" w:space="0"/>
            </w:tcBorders>
            <w:vAlign w:val="center"/>
          </w:tcPr>
          <w:p>
            <w:pPr>
              <w:spacing w:line="360" w:lineRule="atLeast"/>
              <w:jc w:val="center"/>
              <w:rPr>
                <w:rFonts w:ascii="Calibri" w:hAnsi="Calibri"/>
                <w:b/>
              </w:rPr>
            </w:pPr>
            <w:r>
              <w:rPr>
                <w:rFonts w:ascii="Times New Roman" w:hAnsi="Times New Roman"/>
                <w:b/>
                <w:kern w:val="0"/>
                <w:sz w:val="20"/>
                <w:szCs w:val="20"/>
              </w:rPr>
              <w:t>短信</w:t>
            </w:r>
            <w:r>
              <w:rPr>
                <w:rFonts w:hint="eastAsia" w:ascii="Times New Roman" w:hAnsi="Times New Roman"/>
                <w:b/>
                <w:kern w:val="0"/>
                <w:sz w:val="20"/>
                <w:szCs w:val="20"/>
              </w:rPr>
              <w:t>（</w:t>
            </w:r>
            <w:r>
              <w:rPr>
                <w:rFonts w:ascii="Times New Roman" w:hAnsi="Times New Roman"/>
                <w:b/>
                <w:kern w:val="0"/>
                <w:sz w:val="20"/>
                <w:szCs w:val="20"/>
              </w:rPr>
              <w:t>条</w:t>
            </w:r>
            <w:r>
              <w:rPr>
                <w:rFonts w:hint="eastAsia" w:ascii="Times New Roman" w:hAnsi="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原</w:t>
            </w:r>
          </w:p>
        </w:tc>
        <w:tc>
          <w:tcPr>
            <w:tcW w:w="111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ascii="Times New Roman" w:hAnsi="Times New Roman"/>
                <w:color w:val="000000"/>
                <w:sz w:val="20"/>
                <w:szCs w:val="20"/>
              </w:rPr>
              <w:t>60</w:t>
            </w:r>
            <w:r>
              <w:rPr>
                <w:rFonts w:hint="eastAsia" w:ascii="Times New Roman" w:hAnsi="Times New Roman"/>
                <w:color w:val="000000"/>
                <w:sz w:val="20"/>
                <w:szCs w:val="20"/>
              </w:rPr>
              <w:t>（7折）=42</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2G</w:t>
            </w:r>
          </w:p>
        </w:tc>
        <w:tc>
          <w:tcPr>
            <w:tcW w:w="1275"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Times New Roman" w:hAnsi="Times New Roman"/>
                <w:color w:val="000000"/>
                <w:sz w:val="20"/>
                <w:szCs w:val="20"/>
              </w:rPr>
              <w:t>2</w:t>
            </w:r>
            <w:r>
              <w:rPr>
                <w:rFonts w:ascii="Times New Roman" w:hAnsi="Times New Roman"/>
                <w:color w:val="000000"/>
                <w:sz w:val="20"/>
                <w:szCs w:val="20"/>
              </w:rPr>
              <w:t>00</w:t>
            </w:r>
          </w:p>
        </w:tc>
        <w:tc>
          <w:tcPr>
            <w:tcW w:w="1780"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现</w:t>
            </w:r>
          </w:p>
        </w:tc>
        <w:tc>
          <w:tcPr>
            <w:tcW w:w="111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59（7折）=41.3</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12GB</w:t>
            </w:r>
          </w:p>
        </w:tc>
        <w:tc>
          <w:tcPr>
            <w:tcW w:w="127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800</w:t>
            </w:r>
          </w:p>
        </w:tc>
        <w:tc>
          <w:tcPr>
            <w:tcW w:w="1780"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原</w:t>
            </w:r>
          </w:p>
        </w:tc>
        <w:tc>
          <w:tcPr>
            <w:tcW w:w="111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90（7折）=63</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3G</w:t>
            </w:r>
          </w:p>
        </w:tc>
        <w:tc>
          <w:tcPr>
            <w:tcW w:w="127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300</w:t>
            </w:r>
          </w:p>
        </w:tc>
        <w:tc>
          <w:tcPr>
            <w:tcW w:w="1780"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85"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现</w:t>
            </w:r>
          </w:p>
        </w:tc>
        <w:tc>
          <w:tcPr>
            <w:tcW w:w="1119"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99（7折）=69.3</w:t>
            </w:r>
          </w:p>
        </w:tc>
        <w:tc>
          <w:tcPr>
            <w:tcW w:w="1134"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20G</w:t>
            </w:r>
          </w:p>
        </w:tc>
        <w:tc>
          <w:tcPr>
            <w:tcW w:w="1275" w:type="dxa"/>
            <w:tcBorders>
              <w:top w:val="single" w:color="auto" w:sz="4" w:space="0"/>
              <w:left w:val="single" w:color="auto" w:sz="4" w:space="0"/>
              <w:right w:val="single" w:color="auto" w:sz="4" w:space="0"/>
            </w:tcBorders>
            <w:vAlign w:val="center"/>
          </w:tcPr>
          <w:p>
            <w:pPr>
              <w:pStyle w:val="4"/>
              <w:spacing w:before="0" w:beforeAutospacing="0" w:after="0" w:afterAutospacing="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800</w:t>
            </w:r>
          </w:p>
        </w:tc>
        <w:tc>
          <w:tcPr>
            <w:tcW w:w="1780" w:type="dxa"/>
            <w:tcBorders>
              <w:top w:val="single" w:color="auto" w:sz="4" w:space="0"/>
              <w:left w:val="single" w:color="auto" w:sz="4" w:space="0"/>
              <w:right w:val="single" w:color="auto" w:sz="4" w:space="0"/>
            </w:tcBorders>
            <w:vAlign w:val="center"/>
          </w:tcPr>
          <w:p>
            <w:pPr>
              <w:pStyle w:val="4"/>
              <w:spacing w:before="0" w:after="0"/>
              <w:jc w:val="center"/>
              <w:textAlignment w:val="center"/>
              <w:rPr>
                <w:rFonts w:ascii="微软雅黑" w:hAnsi="微软雅黑" w:eastAsia="微软雅黑" w:cs="Times New Roman"/>
                <w:color w:val="000000"/>
                <w:kern w:val="24"/>
                <w:sz w:val="18"/>
                <w:szCs w:val="18"/>
              </w:rPr>
            </w:pPr>
            <w:r>
              <w:rPr>
                <w:rFonts w:hint="eastAsia" w:ascii="微软雅黑" w:hAnsi="微软雅黑" w:eastAsia="微软雅黑" w:cs="Times New Roman"/>
                <w:color w:val="000000"/>
                <w:kern w:val="24"/>
                <w:sz w:val="18"/>
                <w:szCs w:val="18"/>
              </w:rPr>
              <w:t>180</w:t>
            </w:r>
          </w:p>
        </w:tc>
      </w:tr>
    </w:tbl>
    <w:p>
      <w:pPr>
        <w:pStyle w:val="11"/>
        <w:ind w:left="480" w:firstLine="0" w:firstLineChars="0"/>
        <w:rPr>
          <w:b/>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spacing w:line="276" w:lineRule="auto"/>
        <w:rPr>
          <w:rFonts w:ascii="Times New Roman" w:hAnsi="Times New Roman"/>
          <w:color w:val="000000"/>
          <w:kern w:val="0"/>
          <w:sz w:val="20"/>
          <w:szCs w:val="20"/>
        </w:rPr>
      </w:pPr>
    </w:p>
    <w:p>
      <w:pPr>
        <w:pStyle w:val="11"/>
        <w:numPr>
          <w:ilvl w:val="0"/>
          <w:numId w:val="0"/>
        </w:numPr>
        <w:ind w:leftChars="0"/>
        <w:rPr>
          <w:rFonts w:hint="eastAsia"/>
          <w:b/>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DF6"/>
    <w:multiLevelType w:val="multilevel"/>
    <w:tmpl w:val="08AB2DF6"/>
    <w:lvl w:ilvl="0" w:tentative="0">
      <w:start w:val="4"/>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661638"/>
    <w:multiLevelType w:val="multilevel"/>
    <w:tmpl w:val="5B661638"/>
    <w:lvl w:ilvl="0" w:tentative="0">
      <w:start w:val="1"/>
      <w:numFmt w:val="japaneseCounting"/>
      <w:lvlText w:val="%1、"/>
      <w:lvlJc w:val="left"/>
      <w:pPr>
        <w:tabs>
          <w:tab w:val="left" w:pos="480"/>
        </w:tabs>
        <w:ind w:left="480" w:hanging="48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japaneseCounting"/>
      <w:lvlText w:val="（%4）"/>
      <w:lvlJc w:val="left"/>
      <w:pPr>
        <w:tabs>
          <w:tab w:val="left" w:pos="1995"/>
        </w:tabs>
        <w:ind w:left="1995" w:hanging="735"/>
      </w:pPr>
      <w:rPr>
        <w:rFonts w:hint="eastAsia"/>
        <w:color w:val="000000"/>
        <w:sz w:val="24"/>
      </w:rPr>
    </w:lvl>
    <w:lvl w:ilvl="4" w:tentative="0">
      <w:start w:val="1"/>
      <w:numFmt w:val="decimal"/>
      <w:lvlText w:val="%5）"/>
      <w:lvlJc w:val="left"/>
      <w:pPr>
        <w:tabs>
          <w:tab w:val="left" w:pos="1800"/>
        </w:tabs>
        <w:ind w:left="1800" w:hanging="360"/>
      </w:pPr>
      <w:rPr>
        <w:rFonts w:hint="default"/>
        <w:sz w:val="24"/>
      </w:rPr>
    </w:lvl>
    <w:lvl w:ilvl="5" w:tentative="0">
      <w:start w:val="1"/>
      <w:numFmt w:val="decimal"/>
      <w:lvlText w:val="%6、"/>
      <w:lvlJc w:val="left"/>
      <w:pPr>
        <w:tabs>
          <w:tab w:val="left" w:pos="735"/>
        </w:tabs>
        <w:ind w:left="735" w:hanging="375"/>
      </w:pPr>
      <w:rPr>
        <w:rFonts w:hint="default"/>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06D7AA2"/>
    <w:multiLevelType w:val="multilevel"/>
    <w:tmpl w:val="606D7AA2"/>
    <w:lvl w:ilvl="0" w:tentative="0">
      <w:start w:val="1"/>
      <w:numFmt w:val="decimal"/>
      <w:lvlText w:val="%1、"/>
      <w:lvlJc w:val="left"/>
      <w:pPr>
        <w:ind w:left="360" w:hanging="360"/>
      </w:pPr>
      <w:rPr>
        <w:rFonts w:hint="default" w:ascii="宋体" w:hAnsi="宋体"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31"/>
    <w:rsid w:val="00000D45"/>
    <w:rsid w:val="000065CB"/>
    <w:rsid w:val="000153E2"/>
    <w:rsid w:val="00015507"/>
    <w:rsid w:val="00017C4F"/>
    <w:rsid w:val="00022642"/>
    <w:rsid w:val="000229EF"/>
    <w:rsid w:val="0002380C"/>
    <w:rsid w:val="000270FB"/>
    <w:rsid w:val="000408E5"/>
    <w:rsid w:val="00042A3A"/>
    <w:rsid w:val="0004310D"/>
    <w:rsid w:val="000450D3"/>
    <w:rsid w:val="00046CF0"/>
    <w:rsid w:val="000576C7"/>
    <w:rsid w:val="000646C0"/>
    <w:rsid w:val="00070407"/>
    <w:rsid w:val="00070C71"/>
    <w:rsid w:val="000836BA"/>
    <w:rsid w:val="000878B1"/>
    <w:rsid w:val="000924FE"/>
    <w:rsid w:val="0009513F"/>
    <w:rsid w:val="000972BB"/>
    <w:rsid w:val="00097A10"/>
    <w:rsid w:val="000A3FBF"/>
    <w:rsid w:val="000A7DAC"/>
    <w:rsid w:val="000B02BC"/>
    <w:rsid w:val="000B5F31"/>
    <w:rsid w:val="000C37BF"/>
    <w:rsid w:val="000D12AD"/>
    <w:rsid w:val="0010258F"/>
    <w:rsid w:val="00103109"/>
    <w:rsid w:val="00106A34"/>
    <w:rsid w:val="00114327"/>
    <w:rsid w:val="00121A60"/>
    <w:rsid w:val="001221F6"/>
    <w:rsid w:val="00125BD7"/>
    <w:rsid w:val="00127399"/>
    <w:rsid w:val="0013147C"/>
    <w:rsid w:val="001331B9"/>
    <w:rsid w:val="001364A0"/>
    <w:rsid w:val="00140794"/>
    <w:rsid w:val="00142668"/>
    <w:rsid w:val="001431E5"/>
    <w:rsid w:val="0014467B"/>
    <w:rsid w:val="001474D9"/>
    <w:rsid w:val="0015323C"/>
    <w:rsid w:val="001633D7"/>
    <w:rsid w:val="00165802"/>
    <w:rsid w:val="001719FF"/>
    <w:rsid w:val="00174F4A"/>
    <w:rsid w:val="001752C4"/>
    <w:rsid w:val="001869E5"/>
    <w:rsid w:val="00190D09"/>
    <w:rsid w:val="00196724"/>
    <w:rsid w:val="0019748B"/>
    <w:rsid w:val="001A3363"/>
    <w:rsid w:val="001C3662"/>
    <w:rsid w:val="001D0E03"/>
    <w:rsid w:val="001D3441"/>
    <w:rsid w:val="001D41EC"/>
    <w:rsid w:val="001D7BD7"/>
    <w:rsid w:val="001E045F"/>
    <w:rsid w:val="001E1584"/>
    <w:rsid w:val="001E1A31"/>
    <w:rsid w:val="001E2EA9"/>
    <w:rsid w:val="001F61BB"/>
    <w:rsid w:val="002055CF"/>
    <w:rsid w:val="00214516"/>
    <w:rsid w:val="002149F4"/>
    <w:rsid w:val="002171CC"/>
    <w:rsid w:val="00220DE2"/>
    <w:rsid w:val="00220F34"/>
    <w:rsid w:val="00223908"/>
    <w:rsid w:val="00223D20"/>
    <w:rsid w:val="00224418"/>
    <w:rsid w:val="002247B4"/>
    <w:rsid w:val="00224F51"/>
    <w:rsid w:val="002360EB"/>
    <w:rsid w:val="00237D97"/>
    <w:rsid w:val="00247D93"/>
    <w:rsid w:val="00262280"/>
    <w:rsid w:val="00262629"/>
    <w:rsid w:val="00262BA5"/>
    <w:rsid w:val="0026503C"/>
    <w:rsid w:val="0026799E"/>
    <w:rsid w:val="002729D9"/>
    <w:rsid w:val="00273A6B"/>
    <w:rsid w:val="00277E65"/>
    <w:rsid w:val="0028495E"/>
    <w:rsid w:val="002849D5"/>
    <w:rsid w:val="00293D59"/>
    <w:rsid w:val="00294FDD"/>
    <w:rsid w:val="00295C33"/>
    <w:rsid w:val="002A224F"/>
    <w:rsid w:val="002A2A02"/>
    <w:rsid w:val="002B44D8"/>
    <w:rsid w:val="002C240C"/>
    <w:rsid w:val="002C3543"/>
    <w:rsid w:val="002D3952"/>
    <w:rsid w:val="002F491F"/>
    <w:rsid w:val="002F5FC6"/>
    <w:rsid w:val="002F70F8"/>
    <w:rsid w:val="0030008F"/>
    <w:rsid w:val="003010FE"/>
    <w:rsid w:val="00306162"/>
    <w:rsid w:val="003067AC"/>
    <w:rsid w:val="00310549"/>
    <w:rsid w:val="00314356"/>
    <w:rsid w:val="003168B7"/>
    <w:rsid w:val="00325425"/>
    <w:rsid w:val="00326747"/>
    <w:rsid w:val="00333CD0"/>
    <w:rsid w:val="00342B74"/>
    <w:rsid w:val="00346218"/>
    <w:rsid w:val="00350E5F"/>
    <w:rsid w:val="00353DC9"/>
    <w:rsid w:val="00353E6A"/>
    <w:rsid w:val="00355247"/>
    <w:rsid w:val="00356D4C"/>
    <w:rsid w:val="00357710"/>
    <w:rsid w:val="00380673"/>
    <w:rsid w:val="0038714E"/>
    <w:rsid w:val="00395B70"/>
    <w:rsid w:val="003A0B10"/>
    <w:rsid w:val="003B13E6"/>
    <w:rsid w:val="003B4F60"/>
    <w:rsid w:val="003B6984"/>
    <w:rsid w:val="003B7904"/>
    <w:rsid w:val="003C06CA"/>
    <w:rsid w:val="003D1011"/>
    <w:rsid w:val="003E0C38"/>
    <w:rsid w:val="003E1A84"/>
    <w:rsid w:val="003E21B7"/>
    <w:rsid w:val="003E6604"/>
    <w:rsid w:val="00401529"/>
    <w:rsid w:val="0040278F"/>
    <w:rsid w:val="00404818"/>
    <w:rsid w:val="00405EBD"/>
    <w:rsid w:val="00412483"/>
    <w:rsid w:val="0041333F"/>
    <w:rsid w:val="00422D0C"/>
    <w:rsid w:val="00423A97"/>
    <w:rsid w:val="00425B37"/>
    <w:rsid w:val="004337BF"/>
    <w:rsid w:val="00436381"/>
    <w:rsid w:val="004369A8"/>
    <w:rsid w:val="004442CA"/>
    <w:rsid w:val="00445B5B"/>
    <w:rsid w:val="00446312"/>
    <w:rsid w:val="00447D0F"/>
    <w:rsid w:val="00454F00"/>
    <w:rsid w:val="00457CFD"/>
    <w:rsid w:val="0046230A"/>
    <w:rsid w:val="00465512"/>
    <w:rsid w:val="004665A9"/>
    <w:rsid w:val="004707F6"/>
    <w:rsid w:val="0047276A"/>
    <w:rsid w:val="0047704C"/>
    <w:rsid w:val="00483E96"/>
    <w:rsid w:val="00485518"/>
    <w:rsid w:val="0049591A"/>
    <w:rsid w:val="004A205E"/>
    <w:rsid w:val="004A3140"/>
    <w:rsid w:val="004A3E36"/>
    <w:rsid w:val="004A6239"/>
    <w:rsid w:val="004B307D"/>
    <w:rsid w:val="004B40CC"/>
    <w:rsid w:val="004B7D0F"/>
    <w:rsid w:val="004C1BC8"/>
    <w:rsid w:val="004C3709"/>
    <w:rsid w:val="004D37F1"/>
    <w:rsid w:val="004E2783"/>
    <w:rsid w:val="004F4162"/>
    <w:rsid w:val="004F588B"/>
    <w:rsid w:val="00500783"/>
    <w:rsid w:val="005010D1"/>
    <w:rsid w:val="00503DA9"/>
    <w:rsid w:val="00505614"/>
    <w:rsid w:val="005174A3"/>
    <w:rsid w:val="00517B98"/>
    <w:rsid w:val="00520243"/>
    <w:rsid w:val="005253DD"/>
    <w:rsid w:val="00525667"/>
    <w:rsid w:val="00526134"/>
    <w:rsid w:val="005269E3"/>
    <w:rsid w:val="00531123"/>
    <w:rsid w:val="005359D5"/>
    <w:rsid w:val="00536A18"/>
    <w:rsid w:val="00540354"/>
    <w:rsid w:val="00540F8E"/>
    <w:rsid w:val="00541B88"/>
    <w:rsid w:val="00545179"/>
    <w:rsid w:val="00547541"/>
    <w:rsid w:val="0055438A"/>
    <w:rsid w:val="005750D5"/>
    <w:rsid w:val="00575E3D"/>
    <w:rsid w:val="00577D3C"/>
    <w:rsid w:val="0058112D"/>
    <w:rsid w:val="005963AB"/>
    <w:rsid w:val="005A07A6"/>
    <w:rsid w:val="005A35C8"/>
    <w:rsid w:val="005A3AA1"/>
    <w:rsid w:val="005B2980"/>
    <w:rsid w:val="005B3E59"/>
    <w:rsid w:val="005B4FB2"/>
    <w:rsid w:val="005B728D"/>
    <w:rsid w:val="005B7B74"/>
    <w:rsid w:val="005C2B4B"/>
    <w:rsid w:val="005D2520"/>
    <w:rsid w:val="005D26F3"/>
    <w:rsid w:val="005D4277"/>
    <w:rsid w:val="005E1F48"/>
    <w:rsid w:val="005E348B"/>
    <w:rsid w:val="005E6D03"/>
    <w:rsid w:val="005F6C92"/>
    <w:rsid w:val="0060229A"/>
    <w:rsid w:val="00606288"/>
    <w:rsid w:val="006233BC"/>
    <w:rsid w:val="006246E9"/>
    <w:rsid w:val="006335BD"/>
    <w:rsid w:val="00635938"/>
    <w:rsid w:val="00637AC4"/>
    <w:rsid w:val="00641563"/>
    <w:rsid w:val="00645EB4"/>
    <w:rsid w:val="00647A9D"/>
    <w:rsid w:val="00650AC2"/>
    <w:rsid w:val="00655698"/>
    <w:rsid w:val="0065661E"/>
    <w:rsid w:val="00657CEB"/>
    <w:rsid w:val="00665D98"/>
    <w:rsid w:val="00667E42"/>
    <w:rsid w:val="00672CBF"/>
    <w:rsid w:val="006759EA"/>
    <w:rsid w:val="00683574"/>
    <w:rsid w:val="00684233"/>
    <w:rsid w:val="00687CDF"/>
    <w:rsid w:val="006935FE"/>
    <w:rsid w:val="006942A2"/>
    <w:rsid w:val="006A6189"/>
    <w:rsid w:val="006B0898"/>
    <w:rsid w:val="006B3848"/>
    <w:rsid w:val="006B55E0"/>
    <w:rsid w:val="006C60AD"/>
    <w:rsid w:val="006C7AB9"/>
    <w:rsid w:val="006C7E1E"/>
    <w:rsid w:val="006D1341"/>
    <w:rsid w:val="006D6E86"/>
    <w:rsid w:val="006E468C"/>
    <w:rsid w:val="006E7237"/>
    <w:rsid w:val="006E768E"/>
    <w:rsid w:val="007044F2"/>
    <w:rsid w:val="00705F07"/>
    <w:rsid w:val="007123A7"/>
    <w:rsid w:val="00712791"/>
    <w:rsid w:val="00713798"/>
    <w:rsid w:val="007139DA"/>
    <w:rsid w:val="0071529A"/>
    <w:rsid w:val="007158E7"/>
    <w:rsid w:val="00721D47"/>
    <w:rsid w:val="00725539"/>
    <w:rsid w:val="00725754"/>
    <w:rsid w:val="00726703"/>
    <w:rsid w:val="00726DFE"/>
    <w:rsid w:val="00733829"/>
    <w:rsid w:val="0073447B"/>
    <w:rsid w:val="00742278"/>
    <w:rsid w:val="00754169"/>
    <w:rsid w:val="00754A66"/>
    <w:rsid w:val="00757CA5"/>
    <w:rsid w:val="00764F3B"/>
    <w:rsid w:val="00766774"/>
    <w:rsid w:val="007703FC"/>
    <w:rsid w:val="00775418"/>
    <w:rsid w:val="007762DA"/>
    <w:rsid w:val="00783814"/>
    <w:rsid w:val="00783F1C"/>
    <w:rsid w:val="00790839"/>
    <w:rsid w:val="00791B1A"/>
    <w:rsid w:val="007A10A1"/>
    <w:rsid w:val="007A23C9"/>
    <w:rsid w:val="007B3176"/>
    <w:rsid w:val="007B49BF"/>
    <w:rsid w:val="007B63ED"/>
    <w:rsid w:val="007B7A0A"/>
    <w:rsid w:val="007C0A8F"/>
    <w:rsid w:val="007D14B0"/>
    <w:rsid w:val="007D3874"/>
    <w:rsid w:val="007E232F"/>
    <w:rsid w:val="007F40E8"/>
    <w:rsid w:val="007F4EBD"/>
    <w:rsid w:val="007F627B"/>
    <w:rsid w:val="008108A1"/>
    <w:rsid w:val="00810AE2"/>
    <w:rsid w:val="00812991"/>
    <w:rsid w:val="008177C6"/>
    <w:rsid w:val="0082558D"/>
    <w:rsid w:val="00831292"/>
    <w:rsid w:val="00833894"/>
    <w:rsid w:val="00836102"/>
    <w:rsid w:val="0084469F"/>
    <w:rsid w:val="00855254"/>
    <w:rsid w:val="008653AD"/>
    <w:rsid w:val="00866D1A"/>
    <w:rsid w:val="00876B84"/>
    <w:rsid w:val="008819F0"/>
    <w:rsid w:val="00886757"/>
    <w:rsid w:val="008914FC"/>
    <w:rsid w:val="0089238E"/>
    <w:rsid w:val="00893ED2"/>
    <w:rsid w:val="008A1D86"/>
    <w:rsid w:val="008A6EE5"/>
    <w:rsid w:val="008B1348"/>
    <w:rsid w:val="008B4260"/>
    <w:rsid w:val="008B7AB5"/>
    <w:rsid w:val="008B7CA3"/>
    <w:rsid w:val="008C0CD0"/>
    <w:rsid w:val="008C7C53"/>
    <w:rsid w:val="008C7DCC"/>
    <w:rsid w:val="008D00E3"/>
    <w:rsid w:val="008D2038"/>
    <w:rsid w:val="008E342C"/>
    <w:rsid w:val="008F0C2F"/>
    <w:rsid w:val="00900B4F"/>
    <w:rsid w:val="009013DC"/>
    <w:rsid w:val="0091369F"/>
    <w:rsid w:val="00914763"/>
    <w:rsid w:val="00924295"/>
    <w:rsid w:val="00924C5D"/>
    <w:rsid w:val="00924CAA"/>
    <w:rsid w:val="00926441"/>
    <w:rsid w:val="0093009D"/>
    <w:rsid w:val="00930100"/>
    <w:rsid w:val="009355B2"/>
    <w:rsid w:val="0093658D"/>
    <w:rsid w:val="00937511"/>
    <w:rsid w:val="00937818"/>
    <w:rsid w:val="00941F78"/>
    <w:rsid w:val="00942187"/>
    <w:rsid w:val="0094252E"/>
    <w:rsid w:val="00944177"/>
    <w:rsid w:val="00945F63"/>
    <w:rsid w:val="00946782"/>
    <w:rsid w:val="00952193"/>
    <w:rsid w:val="00952995"/>
    <w:rsid w:val="00960F2A"/>
    <w:rsid w:val="00962460"/>
    <w:rsid w:val="00964D5E"/>
    <w:rsid w:val="009663CC"/>
    <w:rsid w:val="00966CE7"/>
    <w:rsid w:val="00975180"/>
    <w:rsid w:val="00975799"/>
    <w:rsid w:val="0098360B"/>
    <w:rsid w:val="0098389C"/>
    <w:rsid w:val="009845CA"/>
    <w:rsid w:val="00986758"/>
    <w:rsid w:val="00991DD1"/>
    <w:rsid w:val="00994EA6"/>
    <w:rsid w:val="0099632D"/>
    <w:rsid w:val="00997B5E"/>
    <w:rsid w:val="009A228C"/>
    <w:rsid w:val="009A2B5B"/>
    <w:rsid w:val="009B045D"/>
    <w:rsid w:val="009B1135"/>
    <w:rsid w:val="009B1902"/>
    <w:rsid w:val="009B2CEA"/>
    <w:rsid w:val="009C33B2"/>
    <w:rsid w:val="009C4EFC"/>
    <w:rsid w:val="009D160D"/>
    <w:rsid w:val="009D5E40"/>
    <w:rsid w:val="009D7F78"/>
    <w:rsid w:val="009E0D98"/>
    <w:rsid w:val="009E2693"/>
    <w:rsid w:val="009E3413"/>
    <w:rsid w:val="009E38CF"/>
    <w:rsid w:val="009E5F11"/>
    <w:rsid w:val="009E6A63"/>
    <w:rsid w:val="009F1161"/>
    <w:rsid w:val="009F2A76"/>
    <w:rsid w:val="009F6CB7"/>
    <w:rsid w:val="009F6F44"/>
    <w:rsid w:val="00A05A0B"/>
    <w:rsid w:val="00A07703"/>
    <w:rsid w:val="00A10D19"/>
    <w:rsid w:val="00A200C4"/>
    <w:rsid w:val="00A2463C"/>
    <w:rsid w:val="00A27E97"/>
    <w:rsid w:val="00A31002"/>
    <w:rsid w:val="00A33856"/>
    <w:rsid w:val="00A416CF"/>
    <w:rsid w:val="00A4440F"/>
    <w:rsid w:val="00A45B77"/>
    <w:rsid w:val="00A4610A"/>
    <w:rsid w:val="00A4757E"/>
    <w:rsid w:val="00A5347C"/>
    <w:rsid w:val="00A540CF"/>
    <w:rsid w:val="00A64DE9"/>
    <w:rsid w:val="00A71092"/>
    <w:rsid w:val="00A7197D"/>
    <w:rsid w:val="00A74076"/>
    <w:rsid w:val="00A75F90"/>
    <w:rsid w:val="00A873D1"/>
    <w:rsid w:val="00A87E17"/>
    <w:rsid w:val="00A9211E"/>
    <w:rsid w:val="00AA29D9"/>
    <w:rsid w:val="00AA424A"/>
    <w:rsid w:val="00AB06BF"/>
    <w:rsid w:val="00AB659D"/>
    <w:rsid w:val="00AB70D8"/>
    <w:rsid w:val="00AC05B2"/>
    <w:rsid w:val="00AC3517"/>
    <w:rsid w:val="00AC65A5"/>
    <w:rsid w:val="00AD3D04"/>
    <w:rsid w:val="00AE008C"/>
    <w:rsid w:val="00AE0BF0"/>
    <w:rsid w:val="00AE7BEE"/>
    <w:rsid w:val="00AE7C36"/>
    <w:rsid w:val="00AF0FCB"/>
    <w:rsid w:val="00AF52F9"/>
    <w:rsid w:val="00B02131"/>
    <w:rsid w:val="00B075B4"/>
    <w:rsid w:val="00B07F64"/>
    <w:rsid w:val="00B11454"/>
    <w:rsid w:val="00B15CDD"/>
    <w:rsid w:val="00B33254"/>
    <w:rsid w:val="00B36A5B"/>
    <w:rsid w:val="00B40F9D"/>
    <w:rsid w:val="00B4248B"/>
    <w:rsid w:val="00B51B13"/>
    <w:rsid w:val="00B55F75"/>
    <w:rsid w:val="00B62CFA"/>
    <w:rsid w:val="00B67130"/>
    <w:rsid w:val="00B72A9D"/>
    <w:rsid w:val="00B82D57"/>
    <w:rsid w:val="00B83A0E"/>
    <w:rsid w:val="00B846CE"/>
    <w:rsid w:val="00B87DD6"/>
    <w:rsid w:val="00B90781"/>
    <w:rsid w:val="00BA5389"/>
    <w:rsid w:val="00BA7B10"/>
    <w:rsid w:val="00BB4DC5"/>
    <w:rsid w:val="00BB7AC6"/>
    <w:rsid w:val="00BC3AEA"/>
    <w:rsid w:val="00BC420D"/>
    <w:rsid w:val="00BC7A74"/>
    <w:rsid w:val="00BD21EB"/>
    <w:rsid w:val="00C00A52"/>
    <w:rsid w:val="00C046DE"/>
    <w:rsid w:val="00C05F40"/>
    <w:rsid w:val="00C06419"/>
    <w:rsid w:val="00C16C3D"/>
    <w:rsid w:val="00C2106B"/>
    <w:rsid w:val="00C25DAC"/>
    <w:rsid w:val="00C25E22"/>
    <w:rsid w:val="00C2620C"/>
    <w:rsid w:val="00C27085"/>
    <w:rsid w:val="00C367D2"/>
    <w:rsid w:val="00C40AA9"/>
    <w:rsid w:val="00C46C3A"/>
    <w:rsid w:val="00C5387E"/>
    <w:rsid w:val="00C57E93"/>
    <w:rsid w:val="00C643D9"/>
    <w:rsid w:val="00C66E06"/>
    <w:rsid w:val="00C77F13"/>
    <w:rsid w:val="00C808F8"/>
    <w:rsid w:val="00C80955"/>
    <w:rsid w:val="00C816A1"/>
    <w:rsid w:val="00C81A48"/>
    <w:rsid w:val="00C8209F"/>
    <w:rsid w:val="00C8291A"/>
    <w:rsid w:val="00C83022"/>
    <w:rsid w:val="00C86C6B"/>
    <w:rsid w:val="00C87937"/>
    <w:rsid w:val="00C96FF5"/>
    <w:rsid w:val="00C97ACD"/>
    <w:rsid w:val="00CA02C0"/>
    <w:rsid w:val="00CA7098"/>
    <w:rsid w:val="00CB47C3"/>
    <w:rsid w:val="00CB7025"/>
    <w:rsid w:val="00CD0AFE"/>
    <w:rsid w:val="00CD10CB"/>
    <w:rsid w:val="00CD15BD"/>
    <w:rsid w:val="00CD2FD6"/>
    <w:rsid w:val="00CF0564"/>
    <w:rsid w:val="00CF138D"/>
    <w:rsid w:val="00CF65F7"/>
    <w:rsid w:val="00CF7E3E"/>
    <w:rsid w:val="00D01EC5"/>
    <w:rsid w:val="00D13BE7"/>
    <w:rsid w:val="00D202CC"/>
    <w:rsid w:val="00D238C2"/>
    <w:rsid w:val="00D2519C"/>
    <w:rsid w:val="00D33ECB"/>
    <w:rsid w:val="00D34EB8"/>
    <w:rsid w:val="00D41FAF"/>
    <w:rsid w:val="00D43AB8"/>
    <w:rsid w:val="00D53D1D"/>
    <w:rsid w:val="00D56D1E"/>
    <w:rsid w:val="00D63895"/>
    <w:rsid w:val="00D77275"/>
    <w:rsid w:val="00D813C2"/>
    <w:rsid w:val="00D84AD7"/>
    <w:rsid w:val="00D9119C"/>
    <w:rsid w:val="00D931A7"/>
    <w:rsid w:val="00D96906"/>
    <w:rsid w:val="00DA1C48"/>
    <w:rsid w:val="00DA631C"/>
    <w:rsid w:val="00DA6782"/>
    <w:rsid w:val="00DA7EA8"/>
    <w:rsid w:val="00DB06B1"/>
    <w:rsid w:val="00DB50CF"/>
    <w:rsid w:val="00DC085D"/>
    <w:rsid w:val="00DC0BE9"/>
    <w:rsid w:val="00DC780A"/>
    <w:rsid w:val="00DD3C4B"/>
    <w:rsid w:val="00DD3D4A"/>
    <w:rsid w:val="00DD5127"/>
    <w:rsid w:val="00DE0867"/>
    <w:rsid w:val="00DE1C6E"/>
    <w:rsid w:val="00DF77C8"/>
    <w:rsid w:val="00E0348C"/>
    <w:rsid w:val="00E05F0C"/>
    <w:rsid w:val="00E114F6"/>
    <w:rsid w:val="00E13C53"/>
    <w:rsid w:val="00E15ED1"/>
    <w:rsid w:val="00E1639F"/>
    <w:rsid w:val="00E20AB4"/>
    <w:rsid w:val="00E21042"/>
    <w:rsid w:val="00E21839"/>
    <w:rsid w:val="00E27DAD"/>
    <w:rsid w:val="00E35819"/>
    <w:rsid w:val="00E35C49"/>
    <w:rsid w:val="00E37BA6"/>
    <w:rsid w:val="00E40268"/>
    <w:rsid w:val="00E4081D"/>
    <w:rsid w:val="00E41B36"/>
    <w:rsid w:val="00E42162"/>
    <w:rsid w:val="00E421E2"/>
    <w:rsid w:val="00E42345"/>
    <w:rsid w:val="00E43BBD"/>
    <w:rsid w:val="00E443FE"/>
    <w:rsid w:val="00E516E2"/>
    <w:rsid w:val="00E57B4F"/>
    <w:rsid w:val="00E6202F"/>
    <w:rsid w:val="00E62DC8"/>
    <w:rsid w:val="00E67B2C"/>
    <w:rsid w:val="00E70BB0"/>
    <w:rsid w:val="00E816C0"/>
    <w:rsid w:val="00E95DC0"/>
    <w:rsid w:val="00E972BB"/>
    <w:rsid w:val="00E977DF"/>
    <w:rsid w:val="00EA10B1"/>
    <w:rsid w:val="00EA3B6C"/>
    <w:rsid w:val="00EA78C0"/>
    <w:rsid w:val="00EB0C53"/>
    <w:rsid w:val="00EC090A"/>
    <w:rsid w:val="00EC22EB"/>
    <w:rsid w:val="00EC5419"/>
    <w:rsid w:val="00ED1C35"/>
    <w:rsid w:val="00ED5EF1"/>
    <w:rsid w:val="00ED7004"/>
    <w:rsid w:val="00ED7C6E"/>
    <w:rsid w:val="00EF2479"/>
    <w:rsid w:val="00EF5E55"/>
    <w:rsid w:val="00F063BB"/>
    <w:rsid w:val="00F10954"/>
    <w:rsid w:val="00F14E40"/>
    <w:rsid w:val="00F201C5"/>
    <w:rsid w:val="00F34A92"/>
    <w:rsid w:val="00F60C2E"/>
    <w:rsid w:val="00F6264F"/>
    <w:rsid w:val="00F62EEE"/>
    <w:rsid w:val="00F84D2E"/>
    <w:rsid w:val="00F86E96"/>
    <w:rsid w:val="00F95E81"/>
    <w:rsid w:val="00F97E47"/>
    <w:rsid w:val="00FA5072"/>
    <w:rsid w:val="00FA6A93"/>
    <w:rsid w:val="00FB0EB8"/>
    <w:rsid w:val="00FB7E31"/>
    <w:rsid w:val="00FC0EDC"/>
    <w:rsid w:val="00FD1A06"/>
    <w:rsid w:val="00FD52F5"/>
    <w:rsid w:val="00FD6841"/>
    <w:rsid w:val="00FE0B8D"/>
    <w:rsid w:val="00FE16D6"/>
    <w:rsid w:val="048B42FA"/>
    <w:rsid w:val="04BD6CC6"/>
    <w:rsid w:val="071C7A64"/>
    <w:rsid w:val="08F7249C"/>
    <w:rsid w:val="09EE09C2"/>
    <w:rsid w:val="0FE42F85"/>
    <w:rsid w:val="11234C76"/>
    <w:rsid w:val="324D722E"/>
    <w:rsid w:val="39F42DEC"/>
    <w:rsid w:val="3AA71385"/>
    <w:rsid w:val="3F7B7EA5"/>
    <w:rsid w:val="4ABA4797"/>
    <w:rsid w:val="4BB46461"/>
    <w:rsid w:val="51652FCB"/>
    <w:rsid w:val="5E2535D8"/>
    <w:rsid w:val="66B53797"/>
    <w:rsid w:val="6B0357A1"/>
    <w:rsid w:val="74CD3CCF"/>
    <w:rsid w:val="75714524"/>
    <w:rsid w:val="77B10810"/>
    <w:rsid w:val="781C6B41"/>
    <w:rsid w:val="7BFB6B8F"/>
    <w:rsid w:val="7C1156DC"/>
    <w:rsid w:val="7DB9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列出段落1"/>
    <w:basedOn w:val="1"/>
    <w:qFormat/>
    <w:uiPriority w:val="0"/>
    <w:pPr>
      <w:ind w:firstLine="420" w:firstLineChars="200"/>
    </w:pPr>
    <w:rPr>
      <w:rFonts w:ascii="Calibri" w:hAnsi="Calibri" w:eastAsia="宋体" w:cs="Times New Roman"/>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styleId="11">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479</Words>
  <Characters>2733</Characters>
  <Lines>22</Lines>
  <Paragraphs>6</Paragraphs>
  <TotalTime>4</TotalTime>
  <ScaleCrop>false</ScaleCrop>
  <LinksUpToDate>false</LinksUpToDate>
  <CharactersWithSpaces>3206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2018-12-21T08:46:00Z</dcterms:created>
  <dc:creator>Windows 用户</dc:creator>
  <cp:lastModifiedBy>Administrator</cp:lastModifiedBy>
  <dcterms:modified xsi:type="dcterms:W3CDTF">2019-01-04T13:53:20Z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